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AB" w:rsidRDefault="008969AB" w:rsidP="002C72C1">
      <w:pPr>
        <w:pStyle w:val="BodyText"/>
        <w:spacing w:line="240" w:lineRule="auto"/>
      </w:pPr>
      <w:r w:rsidRPr="008B2287">
        <w:t xml:space="preserve">The </w:t>
      </w:r>
      <w:r w:rsidR="00934B58">
        <w:t>seventh</w:t>
      </w:r>
      <w:r w:rsidRPr="008B2287">
        <w:t xml:space="preserve"> iteration of</w:t>
      </w:r>
      <w:r>
        <w:t xml:space="preserve"> OGR’s IT</w:t>
      </w:r>
      <w:r w:rsidRPr="008B2287">
        <w:t xml:space="preserve"> scorecard</w:t>
      </w:r>
      <w:r>
        <w:t xml:space="preserve"> </w:t>
      </w:r>
      <w:r w:rsidR="00674172">
        <w:t xml:space="preserve">continues to grade agencies implementation of </w:t>
      </w:r>
      <w:r w:rsidR="00934B58">
        <w:t xml:space="preserve">the 1) </w:t>
      </w:r>
      <w:r w:rsidRPr="008969AB">
        <w:t>Federal Information Technology Acquisition Reform provisions (FITARA)</w:t>
      </w:r>
      <w:r w:rsidRPr="008B2287">
        <w:rPr>
          <w:rStyle w:val="FootnoteReference"/>
        </w:rPr>
        <w:footnoteReference w:id="1"/>
      </w:r>
      <w:r w:rsidR="00934B58">
        <w:t>,</w:t>
      </w:r>
      <w:r>
        <w:t xml:space="preserve"> </w:t>
      </w:r>
      <w:r w:rsidR="00934B58">
        <w:t>2)</w:t>
      </w:r>
      <w:r>
        <w:t xml:space="preserve"> </w:t>
      </w:r>
      <w:r w:rsidRPr="00C13040">
        <w:t xml:space="preserve">Making Electronic Government Accountable By Yielding Tangible Efficiencies Act </w:t>
      </w:r>
      <w:r>
        <w:t xml:space="preserve">of 2016 </w:t>
      </w:r>
      <w:r w:rsidRPr="00C13040">
        <w:t>(MEGABYTE)</w:t>
      </w:r>
      <w:r w:rsidR="00934B58">
        <w:t>,</w:t>
      </w:r>
      <w:r>
        <w:rPr>
          <w:rStyle w:val="FootnoteReference"/>
        </w:rPr>
        <w:footnoteReference w:id="2"/>
      </w:r>
      <w:r w:rsidR="00674172">
        <w:t xml:space="preserve"> </w:t>
      </w:r>
      <w:r w:rsidR="00934B58">
        <w:t xml:space="preserve">and 3) </w:t>
      </w:r>
      <w:r w:rsidR="00674172">
        <w:t>Modernizing Government Technology (MGT) ac</w:t>
      </w:r>
      <w:r w:rsidR="009151A5">
        <w:t>t</w:t>
      </w:r>
      <w:r w:rsidR="00934B58">
        <w:t>.</w:t>
      </w:r>
      <w:r w:rsidR="00674172">
        <w:rPr>
          <w:rStyle w:val="FootnoteReference"/>
        </w:rPr>
        <w:footnoteReference w:id="3"/>
      </w:r>
      <w:r w:rsidR="00674172">
        <w:t xml:space="preserve"> </w:t>
      </w:r>
      <w:r w:rsidR="00934B58" w:rsidRPr="006768A2">
        <w:t>It also extends the scorecard’s preview</w:t>
      </w:r>
      <w:r w:rsidR="00DF32CA" w:rsidRPr="006768A2">
        <w:t xml:space="preserve"> </w:t>
      </w:r>
      <w:r w:rsidR="00934B58" w:rsidRPr="006768A2">
        <w:t xml:space="preserve">of </w:t>
      </w:r>
      <w:r w:rsidR="00DF32CA" w:rsidRPr="006768A2">
        <w:t xml:space="preserve">an additional area related to the </w:t>
      </w:r>
      <w:r w:rsidR="00674172" w:rsidRPr="006768A2">
        <w:t>Federal Information Security Modernization Act of 2014 (FISMA).</w:t>
      </w:r>
      <w:r w:rsidR="00674172" w:rsidRPr="006768A2">
        <w:rPr>
          <w:rStyle w:val="FootnoteReference"/>
        </w:rPr>
        <w:footnoteReference w:id="4"/>
      </w:r>
    </w:p>
    <w:p w:rsidR="00325920" w:rsidRPr="008C7694" w:rsidRDefault="00156132" w:rsidP="002C72C1">
      <w:pPr>
        <w:pStyle w:val="BodyText"/>
        <w:spacing w:line="240" w:lineRule="auto"/>
      </w:pPr>
      <w:r w:rsidRPr="008C7694">
        <w:t xml:space="preserve">These areas were selected by the House Committee on Oversight and Government Reform (OGR) staff because (1) </w:t>
      </w:r>
      <w:r w:rsidR="002F3FF0" w:rsidRPr="008C7694">
        <w:t xml:space="preserve">they represent major </w:t>
      </w:r>
      <w:r w:rsidR="008C7694" w:rsidRPr="008C7694">
        <w:t xml:space="preserve">legislative </w:t>
      </w:r>
      <w:r w:rsidR="002F3FF0" w:rsidRPr="008C7694">
        <w:t xml:space="preserve">requirements, </w:t>
      </w:r>
      <w:r w:rsidRPr="008C7694">
        <w:t xml:space="preserve">(2) the data are </w:t>
      </w:r>
      <w:r w:rsidR="00674172">
        <w:t xml:space="preserve">generally </w:t>
      </w:r>
      <w:r w:rsidRPr="008C7694">
        <w:t xml:space="preserve">publicly available and regularly updated, (3) </w:t>
      </w:r>
      <w:r w:rsidR="002F3FF0" w:rsidRPr="008C7694">
        <w:t xml:space="preserve">implementation would improve IT acquisitions and operations, and (4) </w:t>
      </w:r>
      <w:r w:rsidRPr="008C7694">
        <w:t xml:space="preserve">GAO </w:t>
      </w:r>
      <w:r w:rsidR="00EB78F0">
        <w:t xml:space="preserve">may </w:t>
      </w:r>
      <w:r w:rsidR="008C7694" w:rsidRPr="008C7694">
        <w:t>ha</w:t>
      </w:r>
      <w:r w:rsidR="00EB78F0">
        <w:t>ve</w:t>
      </w:r>
      <w:r w:rsidR="008C7694" w:rsidRPr="008C7694">
        <w:t xml:space="preserve"> completed or ongoing work to </w:t>
      </w:r>
      <w:r w:rsidRPr="008C7694">
        <w:t xml:space="preserve">verify reporting in these areas. </w:t>
      </w:r>
      <w:r w:rsidR="0072132A" w:rsidRPr="008C7694">
        <w:t>The staff selected specific scoring methodologies for each of the are</w:t>
      </w:r>
      <w:r w:rsidR="00245AEE" w:rsidRPr="008C7694">
        <w:t xml:space="preserve">as from a wide range of options and then </w:t>
      </w:r>
      <w:r w:rsidR="0041041B" w:rsidRPr="008C7694">
        <w:t xml:space="preserve">tasked GAO to collect and score the information </w:t>
      </w:r>
      <w:r w:rsidR="00E84211" w:rsidRPr="008C7694">
        <w:t>according</w:t>
      </w:r>
      <w:r w:rsidR="0041041B" w:rsidRPr="008C7694">
        <w:t xml:space="preserve"> to </w:t>
      </w:r>
      <w:r w:rsidR="00245AEE" w:rsidRPr="008C7694">
        <w:t>OGR’s direction.</w:t>
      </w:r>
      <w:r w:rsidR="00552258" w:rsidRPr="008C7694">
        <w:t xml:space="preserve"> </w:t>
      </w:r>
      <w:r w:rsidR="00245AEE" w:rsidRPr="008C7694">
        <w:t xml:space="preserve">The resulting </w:t>
      </w:r>
      <w:r w:rsidR="00533F48" w:rsidRPr="008C7694">
        <w:t>A</w:t>
      </w:r>
      <w:r w:rsidR="00B41D40">
        <w:t xml:space="preserve"> through F</w:t>
      </w:r>
      <w:r w:rsidR="00533F48" w:rsidRPr="008C7694">
        <w:t xml:space="preserve"> </w:t>
      </w:r>
      <w:r w:rsidR="00CB6953" w:rsidRPr="008C7694">
        <w:t>grade</w:t>
      </w:r>
      <w:r w:rsidR="00245AEE" w:rsidRPr="008C7694">
        <w:t xml:space="preserve">s are displayed </w:t>
      </w:r>
      <w:r w:rsidR="0041041B" w:rsidRPr="008C7694">
        <w:t>below</w:t>
      </w:r>
      <w:r w:rsidR="00CB6953" w:rsidRPr="008C7694">
        <w:t xml:space="preserve">. </w:t>
      </w:r>
    </w:p>
    <w:tbl>
      <w:tblPr>
        <w:tblW w:w="9600" w:type="dxa"/>
        <w:jc w:val="center"/>
        <w:tblInd w:w="-23" w:type="dxa"/>
        <w:tblLook w:val="04A0" w:firstRow="1" w:lastRow="0" w:firstColumn="1" w:lastColumn="0" w:noHBand="0" w:noVBand="1"/>
      </w:tblPr>
      <w:tblGrid>
        <w:gridCol w:w="918"/>
        <w:gridCol w:w="941"/>
        <w:gridCol w:w="954"/>
        <w:gridCol w:w="943"/>
        <w:gridCol w:w="957"/>
        <w:gridCol w:w="1088"/>
        <w:gridCol w:w="960"/>
        <w:gridCol w:w="960"/>
        <w:gridCol w:w="919"/>
        <w:gridCol w:w="960"/>
      </w:tblGrid>
      <w:tr w:rsidR="00346821" w:rsidRPr="006E1FAD" w:rsidTr="00897CDD">
        <w:trPr>
          <w:trHeight w:val="315"/>
          <w:jc w:val="center"/>
        </w:trPr>
        <w:tc>
          <w:tcPr>
            <w:tcW w:w="1859" w:type="dxa"/>
            <w:gridSpan w:val="2"/>
            <w:tcBorders>
              <w:top w:val="single" w:sz="8" w:space="0" w:color="auto"/>
              <w:left w:val="single" w:sz="8" w:space="0" w:color="auto"/>
              <w:bottom w:val="single" w:sz="8" w:space="0" w:color="auto"/>
              <w:right w:val="single" w:sz="8" w:space="0" w:color="000000"/>
            </w:tcBorders>
            <w:shd w:val="clear" w:color="auto" w:fill="0070C0"/>
            <w:vAlign w:val="center"/>
            <w:hideMark/>
          </w:tcPr>
          <w:p w:rsidR="00346821" w:rsidRPr="006E1FAD" w:rsidRDefault="00346821" w:rsidP="002C72C1">
            <w:pPr>
              <w:spacing w:after="0" w:line="240" w:lineRule="auto"/>
              <w:jc w:val="center"/>
              <w:rPr>
                <w:rFonts w:eastAsia="Times New Roman" w:cs="Times New Roman"/>
                <w:b/>
                <w:bCs/>
                <w:color w:val="000000"/>
                <w:sz w:val="20"/>
                <w:szCs w:val="20"/>
              </w:rPr>
            </w:pPr>
            <w:r w:rsidRPr="006E1FAD">
              <w:rPr>
                <w:rFonts w:eastAsia="Times New Roman" w:cs="Times New Roman"/>
                <w:b/>
                <w:bCs/>
                <w:color w:val="000000"/>
                <w:sz w:val="20"/>
                <w:szCs w:val="20"/>
              </w:rPr>
              <w:t>A</w:t>
            </w:r>
          </w:p>
        </w:tc>
        <w:tc>
          <w:tcPr>
            <w:tcW w:w="1897" w:type="dxa"/>
            <w:gridSpan w:val="2"/>
            <w:tcBorders>
              <w:top w:val="single" w:sz="8" w:space="0" w:color="auto"/>
              <w:left w:val="nil"/>
              <w:bottom w:val="single" w:sz="8" w:space="0" w:color="auto"/>
              <w:right w:val="single" w:sz="8" w:space="0" w:color="000000"/>
            </w:tcBorders>
            <w:shd w:val="clear" w:color="auto" w:fill="92D050"/>
            <w:vAlign w:val="center"/>
            <w:hideMark/>
          </w:tcPr>
          <w:p w:rsidR="00346821" w:rsidRPr="006E1FAD" w:rsidRDefault="00346821" w:rsidP="002C72C1">
            <w:pPr>
              <w:spacing w:after="0" w:line="240" w:lineRule="auto"/>
              <w:jc w:val="center"/>
              <w:rPr>
                <w:rFonts w:eastAsia="Times New Roman" w:cs="Times New Roman"/>
                <w:b/>
                <w:bCs/>
                <w:color w:val="000000"/>
                <w:sz w:val="20"/>
                <w:szCs w:val="20"/>
              </w:rPr>
            </w:pPr>
            <w:r w:rsidRPr="006E1FAD">
              <w:rPr>
                <w:rFonts w:eastAsia="Times New Roman" w:cs="Times New Roman"/>
                <w:b/>
                <w:bCs/>
                <w:color w:val="000000"/>
                <w:sz w:val="20"/>
                <w:szCs w:val="20"/>
              </w:rPr>
              <w:t>B</w:t>
            </w:r>
          </w:p>
        </w:tc>
        <w:tc>
          <w:tcPr>
            <w:tcW w:w="2045" w:type="dxa"/>
            <w:gridSpan w:val="2"/>
            <w:tcBorders>
              <w:top w:val="single" w:sz="8" w:space="0" w:color="auto"/>
              <w:left w:val="nil"/>
              <w:bottom w:val="single" w:sz="8" w:space="0" w:color="auto"/>
              <w:right w:val="single" w:sz="8" w:space="0" w:color="000000"/>
            </w:tcBorders>
            <w:shd w:val="clear" w:color="auto" w:fill="FFFF00"/>
            <w:vAlign w:val="center"/>
            <w:hideMark/>
          </w:tcPr>
          <w:p w:rsidR="00346821" w:rsidRPr="006E1FAD" w:rsidRDefault="00346821" w:rsidP="002C72C1">
            <w:pPr>
              <w:spacing w:after="0" w:line="240" w:lineRule="auto"/>
              <w:jc w:val="center"/>
              <w:rPr>
                <w:rFonts w:eastAsia="Times New Roman" w:cs="Times New Roman"/>
                <w:b/>
                <w:bCs/>
                <w:color w:val="000000"/>
                <w:sz w:val="20"/>
                <w:szCs w:val="20"/>
              </w:rPr>
            </w:pPr>
            <w:r w:rsidRPr="006E1FAD">
              <w:rPr>
                <w:rFonts w:eastAsia="Times New Roman" w:cs="Times New Roman"/>
                <w:b/>
                <w:bCs/>
                <w:color w:val="000000"/>
                <w:sz w:val="20"/>
                <w:szCs w:val="20"/>
              </w:rPr>
              <w:t>C</w:t>
            </w:r>
          </w:p>
        </w:tc>
        <w:tc>
          <w:tcPr>
            <w:tcW w:w="1920" w:type="dxa"/>
            <w:gridSpan w:val="2"/>
            <w:tcBorders>
              <w:top w:val="single" w:sz="8" w:space="0" w:color="auto"/>
              <w:left w:val="nil"/>
              <w:bottom w:val="single" w:sz="8" w:space="0" w:color="auto"/>
              <w:right w:val="single" w:sz="8" w:space="0" w:color="000000"/>
            </w:tcBorders>
            <w:shd w:val="clear" w:color="auto" w:fill="FFC000"/>
            <w:noWrap/>
            <w:vAlign w:val="center"/>
            <w:hideMark/>
          </w:tcPr>
          <w:p w:rsidR="00346821" w:rsidRPr="006E1FAD" w:rsidRDefault="00346821" w:rsidP="002C72C1">
            <w:pPr>
              <w:spacing w:after="0" w:line="240" w:lineRule="auto"/>
              <w:jc w:val="center"/>
              <w:rPr>
                <w:rFonts w:eastAsia="Times New Roman" w:cs="Times New Roman"/>
                <w:b/>
                <w:bCs/>
                <w:color w:val="000000"/>
                <w:sz w:val="20"/>
                <w:szCs w:val="20"/>
              </w:rPr>
            </w:pPr>
            <w:r w:rsidRPr="006E1FAD">
              <w:rPr>
                <w:rFonts w:eastAsia="Times New Roman" w:cs="Times New Roman"/>
                <w:b/>
                <w:bCs/>
                <w:color w:val="000000"/>
                <w:sz w:val="20"/>
                <w:szCs w:val="20"/>
              </w:rPr>
              <w:t>D</w:t>
            </w:r>
          </w:p>
        </w:tc>
        <w:tc>
          <w:tcPr>
            <w:tcW w:w="1879" w:type="dxa"/>
            <w:gridSpan w:val="2"/>
            <w:tcBorders>
              <w:top w:val="single" w:sz="8" w:space="0" w:color="auto"/>
              <w:left w:val="nil"/>
              <w:bottom w:val="single" w:sz="8" w:space="0" w:color="auto"/>
              <w:right w:val="single" w:sz="8" w:space="0" w:color="000000"/>
            </w:tcBorders>
            <w:shd w:val="clear" w:color="auto" w:fill="C00000"/>
            <w:vAlign w:val="center"/>
            <w:hideMark/>
          </w:tcPr>
          <w:p w:rsidR="00346821" w:rsidRPr="006E1FAD" w:rsidRDefault="00346821" w:rsidP="002C72C1">
            <w:pPr>
              <w:spacing w:after="0" w:line="240" w:lineRule="auto"/>
              <w:jc w:val="center"/>
              <w:rPr>
                <w:rFonts w:eastAsia="Times New Roman" w:cs="Times New Roman"/>
                <w:b/>
                <w:bCs/>
                <w:color w:val="000000"/>
                <w:sz w:val="20"/>
                <w:szCs w:val="20"/>
              </w:rPr>
            </w:pPr>
            <w:r w:rsidRPr="006E1FAD">
              <w:rPr>
                <w:rFonts w:eastAsia="Times New Roman" w:cs="Times New Roman"/>
                <w:b/>
                <w:bCs/>
                <w:color w:val="000000"/>
                <w:sz w:val="20"/>
                <w:szCs w:val="20"/>
              </w:rPr>
              <w:t>F</w:t>
            </w:r>
          </w:p>
        </w:tc>
      </w:tr>
      <w:tr w:rsidR="00346821" w:rsidRPr="00934B58" w:rsidTr="0091168F">
        <w:trPr>
          <w:trHeight w:val="315"/>
          <w:jc w:val="center"/>
        </w:trPr>
        <w:tc>
          <w:tcPr>
            <w:tcW w:w="1859" w:type="dxa"/>
            <w:gridSpan w:val="2"/>
            <w:tcBorders>
              <w:top w:val="single" w:sz="8" w:space="0" w:color="auto"/>
              <w:left w:val="nil"/>
              <w:bottom w:val="double" w:sz="4" w:space="0" w:color="auto"/>
              <w:right w:val="nil"/>
            </w:tcBorders>
            <w:vAlign w:val="center"/>
          </w:tcPr>
          <w:p w:rsidR="00346821" w:rsidRPr="006768A2" w:rsidRDefault="005C2BDE" w:rsidP="002C72C1">
            <w:pPr>
              <w:spacing w:after="0" w:line="240" w:lineRule="auto"/>
              <w:jc w:val="center"/>
              <w:rPr>
                <w:rFonts w:eastAsia="Times New Roman" w:cs="Times New Roman"/>
                <w:b/>
                <w:bCs/>
                <w:color w:val="000000"/>
                <w:sz w:val="20"/>
                <w:szCs w:val="20"/>
              </w:rPr>
            </w:pPr>
            <w:r w:rsidRPr="006768A2">
              <w:rPr>
                <w:rFonts w:eastAsia="Times New Roman" w:cs="Times New Roman"/>
                <w:b/>
                <w:bCs/>
                <w:color w:val="000000"/>
                <w:sz w:val="20"/>
                <w:szCs w:val="20"/>
              </w:rPr>
              <w:t>0</w:t>
            </w:r>
          </w:p>
        </w:tc>
        <w:tc>
          <w:tcPr>
            <w:tcW w:w="1897" w:type="dxa"/>
            <w:gridSpan w:val="2"/>
            <w:tcBorders>
              <w:top w:val="single" w:sz="8" w:space="0" w:color="auto"/>
              <w:left w:val="nil"/>
              <w:bottom w:val="double" w:sz="4" w:space="0" w:color="auto"/>
              <w:right w:val="nil"/>
            </w:tcBorders>
            <w:vAlign w:val="center"/>
          </w:tcPr>
          <w:p w:rsidR="00346821" w:rsidRPr="006768A2" w:rsidRDefault="00897CDD" w:rsidP="002C72C1">
            <w:pPr>
              <w:spacing w:after="0" w:line="240" w:lineRule="auto"/>
              <w:jc w:val="center"/>
              <w:rPr>
                <w:rFonts w:eastAsia="Times New Roman" w:cs="Times New Roman"/>
                <w:b/>
                <w:bCs/>
                <w:color w:val="000000"/>
                <w:sz w:val="20"/>
                <w:szCs w:val="20"/>
              </w:rPr>
            </w:pPr>
            <w:r w:rsidRPr="006768A2">
              <w:rPr>
                <w:rFonts w:eastAsia="Times New Roman" w:cs="Times New Roman"/>
                <w:b/>
                <w:bCs/>
                <w:color w:val="000000"/>
                <w:sz w:val="20"/>
                <w:szCs w:val="20"/>
              </w:rPr>
              <w:t>1</w:t>
            </w:r>
            <w:r w:rsidR="008F2E63">
              <w:rPr>
                <w:rFonts w:eastAsia="Times New Roman" w:cs="Times New Roman"/>
                <w:b/>
                <w:bCs/>
                <w:color w:val="000000"/>
                <w:sz w:val="20"/>
                <w:szCs w:val="20"/>
              </w:rPr>
              <w:t>1</w:t>
            </w:r>
          </w:p>
        </w:tc>
        <w:tc>
          <w:tcPr>
            <w:tcW w:w="2045" w:type="dxa"/>
            <w:gridSpan w:val="2"/>
            <w:tcBorders>
              <w:top w:val="single" w:sz="8" w:space="0" w:color="auto"/>
              <w:left w:val="nil"/>
              <w:bottom w:val="double" w:sz="4" w:space="0" w:color="auto"/>
              <w:right w:val="nil"/>
            </w:tcBorders>
            <w:vAlign w:val="center"/>
          </w:tcPr>
          <w:p w:rsidR="00346821" w:rsidRPr="006768A2" w:rsidRDefault="008F2E63" w:rsidP="002C72C1">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7</w:t>
            </w:r>
          </w:p>
        </w:tc>
        <w:tc>
          <w:tcPr>
            <w:tcW w:w="1920" w:type="dxa"/>
            <w:gridSpan w:val="2"/>
            <w:tcBorders>
              <w:top w:val="single" w:sz="8" w:space="0" w:color="auto"/>
              <w:left w:val="nil"/>
              <w:bottom w:val="double" w:sz="4" w:space="0" w:color="auto"/>
              <w:right w:val="nil"/>
            </w:tcBorders>
            <w:noWrap/>
            <w:vAlign w:val="center"/>
          </w:tcPr>
          <w:p w:rsidR="00346821" w:rsidRPr="006768A2" w:rsidRDefault="00897CDD" w:rsidP="002C72C1">
            <w:pPr>
              <w:spacing w:after="0" w:line="240" w:lineRule="auto"/>
              <w:jc w:val="center"/>
              <w:rPr>
                <w:rFonts w:eastAsia="Times New Roman" w:cs="Times New Roman"/>
                <w:b/>
                <w:bCs/>
                <w:color w:val="000000"/>
                <w:sz w:val="20"/>
                <w:szCs w:val="20"/>
              </w:rPr>
            </w:pPr>
            <w:r w:rsidRPr="006768A2">
              <w:rPr>
                <w:rFonts w:eastAsia="Times New Roman" w:cs="Times New Roman"/>
                <w:b/>
                <w:bCs/>
                <w:color w:val="000000"/>
                <w:sz w:val="20"/>
                <w:szCs w:val="20"/>
              </w:rPr>
              <w:t>6</w:t>
            </w:r>
          </w:p>
        </w:tc>
        <w:tc>
          <w:tcPr>
            <w:tcW w:w="1879" w:type="dxa"/>
            <w:gridSpan w:val="2"/>
            <w:tcBorders>
              <w:top w:val="single" w:sz="8" w:space="0" w:color="auto"/>
              <w:left w:val="nil"/>
              <w:bottom w:val="double" w:sz="4" w:space="0" w:color="auto"/>
              <w:right w:val="nil"/>
            </w:tcBorders>
            <w:vAlign w:val="center"/>
          </w:tcPr>
          <w:p w:rsidR="00346821" w:rsidRPr="006768A2" w:rsidRDefault="00897CDD" w:rsidP="002C72C1">
            <w:pPr>
              <w:spacing w:after="0" w:line="240" w:lineRule="auto"/>
              <w:jc w:val="center"/>
              <w:rPr>
                <w:rFonts w:eastAsia="Times New Roman" w:cs="Times New Roman"/>
                <w:b/>
                <w:bCs/>
                <w:color w:val="000000"/>
                <w:sz w:val="20"/>
                <w:szCs w:val="20"/>
              </w:rPr>
            </w:pPr>
            <w:r w:rsidRPr="006768A2">
              <w:rPr>
                <w:rFonts w:eastAsia="Times New Roman" w:cs="Times New Roman"/>
                <w:b/>
                <w:bCs/>
                <w:color w:val="000000"/>
                <w:sz w:val="20"/>
                <w:szCs w:val="20"/>
              </w:rPr>
              <w:t>0</w:t>
            </w:r>
          </w:p>
        </w:tc>
      </w:tr>
      <w:tr w:rsidR="00F264B6" w:rsidRPr="00934B58" w:rsidTr="0091168F">
        <w:trPr>
          <w:trHeight w:val="243"/>
          <w:jc w:val="center"/>
        </w:trPr>
        <w:tc>
          <w:tcPr>
            <w:tcW w:w="1859" w:type="dxa"/>
            <w:gridSpan w:val="2"/>
            <w:tcBorders>
              <w:top w:val="double" w:sz="4" w:space="0" w:color="auto"/>
            </w:tcBorders>
          </w:tcPr>
          <w:p w:rsidR="00F264B6" w:rsidRPr="006768A2" w:rsidRDefault="00F264B6" w:rsidP="002C72C1">
            <w:pPr>
              <w:spacing w:after="0" w:line="240" w:lineRule="auto"/>
              <w:jc w:val="center"/>
              <w:rPr>
                <w:rFonts w:eastAsia="Times New Roman" w:cs="Times New Roman"/>
                <w:sz w:val="20"/>
                <w:szCs w:val="20"/>
              </w:rPr>
            </w:pPr>
          </w:p>
        </w:tc>
        <w:tc>
          <w:tcPr>
            <w:tcW w:w="954" w:type="dxa"/>
            <w:tcBorders>
              <w:top w:val="double" w:sz="4" w:space="0" w:color="auto"/>
              <w:left w:val="nil"/>
              <w:bottom w:val="single" w:sz="4" w:space="0" w:color="auto"/>
              <w:right w:val="nil"/>
            </w:tcBorders>
          </w:tcPr>
          <w:p w:rsidR="00F264B6" w:rsidRPr="006768A2" w:rsidRDefault="00F264B6"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Ed.</w:t>
            </w:r>
          </w:p>
        </w:tc>
        <w:tc>
          <w:tcPr>
            <w:tcW w:w="943" w:type="dxa"/>
            <w:tcBorders>
              <w:top w:val="double" w:sz="4" w:space="0" w:color="auto"/>
              <w:left w:val="nil"/>
              <w:bottom w:val="single" w:sz="4" w:space="0" w:color="auto"/>
              <w:right w:val="nil"/>
            </w:tcBorders>
          </w:tcPr>
          <w:p w:rsidR="00F264B6" w:rsidRPr="006768A2" w:rsidRDefault="008F2E63" w:rsidP="002C72C1">
            <w:pPr>
              <w:spacing w:after="0" w:line="240" w:lineRule="auto"/>
              <w:jc w:val="center"/>
              <w:rPr>
                <w:rFonts w:eastAsia="Times New Roman" w:cs="Times New Roman"/>
                <w:color w:val="000000"/>
                <w:sz w:val="20"/>
                <w:szCs w:val="20"/>
              </w:rPr>
            </w:pPr>
            <w:r w:rsidRPr="006768A2">
              <w:rPr>
                <w:rFonts w:ascii="Calibri" w:hAnsi="Calibri"/>
                <w:color w:val="000000"/>
                <w:sz w:val="20"/>
                <w:szCs w:val="20"/>
              </w:rPr>
              <w:t>GSA</w:t>
            </w:r>
          </w:p>
        </w:tc>
        <w:tc>
          <w:tcPr>
            <w:tcW w:w="957" w:type="dxa"/>
            <w:tcBorders>
              <w:top w:val="double" w:sz="4" w:space="0" w:color="auto"/>
              <w:left w:val="nil"/>
              <w:bottom w:val="single" w:sz="8" w:space="0" w:color="auto"/>
              <w:right w:val="nil"/>
            </w:tcBorders>
          </w:tcPr>
          <w:p w:rsidR="00F264B6" w:rsidRPr="006768A2" w:rsidRDefault="00897CDD" w:rsidP="002C72C1">
            <w:pPr>
              <w:spacing w:after="0" w:line="240" w:lineRule="auto"/>
              <w:jc w:val="center"/>
              <w:rPr>
                <w:rFonts w:ascii="Calibri" w:hAnsi="Calibri"/>
                <w:color w:val="000000"/>
                <w:sz w:val="20"/>
                <w:szCs w:val="20"/>
              </w:rPr>
            </w:pPr>
            <w:r w:rsidRPr="006768A2">
              <w:rPr>
                <w:rFonts w:ascii="Calibri" w:hAnsi="Calibri"/>
                <w:color w:val="000000"/>
                <w:sz w:val="20"/>
                <w:szCs w:val="20"/>
              </w:rPr>
              <w:t>DOC</w:t>
            </w:r>
          </w:p>
        </w:tc>
        <w:tc>
          <w:tcPr>
            <w:tcW w:w="1088" w:type="dxa"/>
            <w:tcBorders>
              <w:top w:val="double" w:sz="4" w:space="0" w:color="auto"/>
              <w:left w:val="nil"/>
              <w:bottom w:val="single" w:sz="8" w:space="0" w:color="auto"/>
              <w:right w:val="nil"/>
            </w:tcBorders>
          </w:tcPr>
          <w:p w:rsidR="00F264B6" w:rsidRPr="006768A2" w:rsidRDefault="008F2E63" w:rsidP="002C72C1">
            <w:pPr>
              <w:spacing w:after="0" w:line="240" w:lineRule="auto"/>
              <w:jc w:val="center"/>
              <w:rPr>
                <w:rFonts w:ascii="Calibri" w:hAnsi="Calibri"/>
                <w:color w:val="000000"/>
                <w:sz w:val="20"/>
                <w:szCs w:val="20"/>
              </w:rPr>
            </w:pPr>
            <w:r w:rsidRPr="006768A2">
              <w:rPr>
                <w:rFonts w:ascii="Calibri" w:hAnsi="Calibri"/>
                <w:color w:val="000000"/>
                <w:sz w:val="20"/>
                <w:szCs w:val="20"/>
              </w:rPr>
              <w:t>DOI</w:t>
            </w:r>
          </w:p>
        </w:tc>
        <w:tc>
          <w:tcPr>
            <w:tcW w:w="960" w:type="dxa"/>
            <w:tcBorders>
              <w:top w:val="double" w:sz="4" w:space="0" w:color="auto"/>
              <w:left w:val="nil"/>
              <w:bottom w:val="single" w:sz="4" w:space="0" w:color="auto"/>
              <w:right w:val="nil"/>
            </w:tcBorders>
            <w:noWrap/>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USDA</w:t>
            </w:r>
          </w:p>
        </w:tc>
        <w:tc>
          <w:tcPr>
            <w:tcW w:w="960" w:type="dxa"/>
            <w:tcBorders>
              <w:top w:val="double" w:sz="4" w:space="0" w:color="auto"/>
              <w:left w:val="nil"/>
              <w:bottom w:val="single" w:sz="4" w:space="0" w:color="auto"/>
              <w:right w:val="nil"/>
            </w:tcBorders>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Treas.</w:t>
            </w:r>
          </w:p>
        </w:tc>
        <w:tc>
          <w:tcPr>
            <w:tcW w:w="1879" w:type="dxa"/>
            <w:gridSpan w:val="2"/>
            <w:tcBorders>
              <w:top w:val="double" w:sz="4" w:space="0" w:color="auto"/>
              <w:left w:val="nil"/>
              <w:right w:val="nil"/>
            </w:tcBorders>
          </w:tcPr>
          <w:p w:rsidR="00F264B6" w:rsidRPr="006768A2" w:rsidRDefault="00F264B6" w:rsidP="002C72C1">
            <w:pPr>
              <w:spacing w:after="0" w:line="240" w:lineRule="auto"/>
              <w:jc w:val="center"/>
              <w:rPr>
                <w:rFonts w:eastAsia="Times New Roman" w:cs="Times New Roman"/>
                <w:color w:val="000000"/>
                <w:sz w:val="20"/>
                <w:szCs w:val="20"/>
              </w:rPr>
            </w:pPr>
          </w:p>
        </w:tc>
      </w:tr>
      <w:tr w:rsidR="00F264B6" w:rsidRPr="00934B58" w:rsidTr="0091168F">
        <w:trPr>
          <w:trHeight w:val="61"/>
          <w:jc w:val="center"/>
        </w:trPr>
        <w:tc>
          <w:tcPr>
            <w:tcW w:w="1859" w:type="dxa"/>
            <w:gridSpan w:val="2"/>
          </w:tcPr>
          <w:p w:rsidR="00F264B6" w:rsidRPr="006768A2" w:rsidRDefault="00F264B6" w:rsidP="002C72C1">
            <w:pPr>
              <w:spacing w:after="0" w:line="240" w:lineRule="auto"/>
              <w:jc w:val="center"/>
              <w:rPr>
                <w:rFonts w:eastAsia="Times New Roman" w:cs="Times New Roman"/>
                <w:sz w:val="20"/>
                <w:szCs w:val="20"/>
              </w:rPr>
            </w:pPr>
          </w:p>
        </w:tc>
        <w:tc>
          <w:tcPr>
            <w:tcW w:w="954" w:type="dxa"/>
            <w:tcBorders>
              <w:top w:val="single" w:sz="4" w:space="0" w:color="auto"/>
              <w:left w:val="nil"/>
              <w:bottom w:val="single" w:sz="4" w:space="0" w:color="auto"/>
              <w:right w:val="nil"/>
            </w:tcBorders>
          </w:tcPr>
          <w:p w:rsidR="00F264B6" w:rsidRPr="006768A2" w:rsidRDefault="00F264B6"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Energy</w:t>
            </w:r>
            <w:r w:rsidR="00897CDD" w:rsidRPr="006768A2">
              <w:rPr>
                <w:rFonts w:eastAsia="Times New Roman" w:cs="Times New Roman"/>
                <w:b/>
                <w:bCs/>
                <w:color w:val="00B050"/>
                <w:sz w:val="20"/>
                <w:szCs w:val="20"/>
              </w:rPr>
              <w:t>↑</w:t>
            </w:r>
          </w:p>
        </w:tc>
        <w:tc>
          <w:tcPr>
            <w:tcW w:w="943" w:type="dxa"/>
            <w:tcBorders>
              <w:top w:val="single" w:sz="4" w:space="0" w:color="auto"/>
              <w:left w:val="nil"/>
              <w:bottom w:val="single" w:sz="4" w:space="0" w:color="auto"/>
              <w:right w:val="nil"/>
            </w:tcBorders>
          </w:tcPr>
          <w:p w:rsidR="00F264B6" w:rsidRPr="006768A2" w:rsidRDefault="008F2E63"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NASA</w:t>
            </w:r>
            <w:r w:rsidRPr="006768A2">
              <w:rPr>
                <w:rFonts w:eastAsia="Times New Roman" w:cs="Times New Roman"/>
                <w:b/>
                <w:bCs/>
                <w:color w:val="00B050"/>
                <w:sz w:val="20"/>
                <w:szCs w:val="20"/>
              </w:rPr>
              <w:t>↑</w:t>
            </w:r>
          </w:p>
        </w:tc>
        <w:tc>
          <w:tcPr>
            <w:tcW w:w="957" w:type="dxa"/>
            <w:tcBorders>
              <w:top w:val="single" w:sz="8" w:space="0" w:color="auto"/>
              <w:left w:val="nil"/>
              <w:bottom w:val="single" w:sz="8" w:space="0" w:color="auto"/>
              <w:right w:val="nil"/>
            </w:tcBorders>
          </w:tcPr>
          <w:p w:rsidR="00F264B6" w:rsidRPr="006768A2" w:rsidRDefault="00897CDD" w:rsidP="002C72C1">
            <w:pPr>
              <w:spacing w:after="0" w:line="240" w:lineRule="auto"/>
              <w:jc w:val="center"/>
              <w:rPr>
                <w:rFonts w:ascii="Calibri" w:hAnsi="Calibri"/>
                <w:color w:val="000000"/>
                <w:sz w:val="20"/>
                <w:szCs w:val="20"/>
              </w:rPr>
            </w:pPr>
            <w:r w:rsidRPr="006768A2">
              <w:rPr>
                <w:rFonts w:ascii="Calibri" w:hAnsi="Calibri"/>
                <w:color w:val="000000"/>
                <w:sz w:val="20"/>
                <w:szCs w:val="20"/>
              </w:rPr>
              <w:t>DHS</w:t>
            </w:r>
            <w:r w:rsidRPr="006768A2">
              <w:rPr>
                <w:rFonts w:eastAsia="Times New Roman" w:cs="Times New Roman"/>
                <w:b/>
                <w:bCs/>
                <w:color w:val="00B050"/>
                <w:sz w:val="20"/>
                <w:szCs w:val="20"/>
              </w:rPr>
              <w:t>↑</w:t>
            </w:r>
          </w:p>
        </w:tc>
        <w:tc>
          <w:tcPr>
            <w:tcW w:w="1088" w:type="dxa"/>
            <w:tcBorders>
              <w:left w:val="nil"/>
              <w:bottom w:val="single" w:sz="8" w:space="0" w:color="auto"/>
              <w:right w:val="nil"/>
            </w:tcBorders>
          </w:tcPr>
          <w:p w:rsidR="00F264B6" w:rsidRPr="006768A2" w:rsidRDefault="00897CDD" w:rsidP="002C72C1">
            <w:pPr>
              <w:spacing w:after="0" w:line="240" w:lineRule="auto"/>
              <w:jc w:val="center"/>
              <w:rPr>
                <w:rFonts w:ascii="Calibri" w:hAnsi="Calibri"/>
                <w:color w:val="000000"/>
                <w:sz w:val="20"/>
                <w:szCs w:val="20"/>
              </w:rPr>
            </w:pPr>
            <w:r w:rsidRPr="006768A2">
              <w:rPr>
                <w:rFonts w:ascii="Calibri" w:hAnsi="Calibri"/>
                <w:color w:val="000000"/>
                <w:sz w:val="20"/>
                <w:szCs w:val="20"/>
              </w:rPr>
              <w:t>State</w:t>
            </w:r>
            <w:r w:rsidRPr="006768A2">
              <w:rPr>
                <w:rFonts w:eastAsia="Times New Roman" w:cs="Times New Roman"/>
                <w:b/>
                <w:bCs/>
                <w:color w:val="00B050"/>
                <w:sz w:val="20"/>
                <w:szCs w:val="20"/>
              </w:rPr>
              <w:t>↑</w:t>
            </w:r>
          </w:p>
        </w:tc>
        <w:tc>
          <w:tcPr>
            <w:tcW w:w="960" w:type="dxa"/>
            <w:tcBorders>
              <w:left w:val="nil"/>
              <w:bottom w:val="single" w:sz="4" w:space="0" w:color="auto"/>
              <w:right w:val="nil"/>
            </w:tcBorders>
            <w:noWrap/>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DOD</w:t>
            </w:r>
            <w:r w:rsidRPr="006768A2">
              <w:rPr>
                <w:rFonts w:eastAsia="Times New Roman" w:cs="Times New Roman"/>
                <w:b/>
                <w:bCs/>
                <w:color w:val="00B050"/>
                <w:sz w:val="20"/>
                <w:szCs w:val="20"/>
              </w:rPr>
              <w:t>↑</w:t>
            </w:r>
          </w:p>
        </w:tc>
        <w:tc>
          <w:tcPr>
            <w:tcW w:w="960" w:type="dxa"/>
            <w:tcBorders>
              <w:left w:val="nil"/>
              <w:bottom w:val="single" w:sz="4" w:space="0" w:color="auto"/>
              <w:right w:val="nil"/>
            </w:tcBorders>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NRC</w:t>
            </w:r>
          </w:p>
        </w:tc>
        <w:tc>
          <w:tcPr>
            <w:tcW w:w="1879" w:type="dxa"/>
            <w:gridSpan w:val="2"/>
          </w:tcPr>
          <w:p w:rsidR="00F264B6" w:rsidRPr="006768A2" w:rsidRDefault="00F264B6" w:rsidP="002C72C1">
            <w:pPr>
              <w:spacing w:after="0" w:line="240" w:lineRule="auto"/>
              <w:jc w:val="center"/>
              <w:rPr>
                <w:rFonts w:eastAsia="Times New Roman" w:cs="Times New Roman"/>
                <w:sz w:val="20"/>
                <w:szCs w:val="20"/>
              </w:rPr>
            </w:pPr>
          </w:p>
        </w:tc>
      </w:tr>
      <w:tr w:rsidR="00F264B6" w:rsidRPr="00934B58" w:rsidTr="00897CDD">
        <w:trPr>
          <w:trHeight w:val="79"/>
          <w:jc w:val="center"/>
        </w:trPr>
        <w:tc>
          <w:tcPr>
            <w:tcW w:w="1859" w:type="dxa"/>
            <w:gridSpan w:val="2"/>
            <w:hideMark/>
          </w:tcPr>
          <w:p w:rsidR="00F264B6" w:rsidRPr="006768A2" w:rsidRDefault="00F264B6" w:rsidP="002C72C1">
            <w:pPr>
              <w:spacing w:after="0" w:line="240" w:lineRule="auto"/>
              <w:jc w:val="center"/>
              <w:rPr>
                <w:rFonts w:eastAsia="Times New Roman" w:cs="Times New Roman"/>
                <w:sz w:val="20"/>
                <w:szCs w:val="20"/>
              </w:rPr>
            </w:pPr>
          </w:p>
        </w:tc>
        <w:tc>
          <w:tcPr>
            <w:tcW w:w="954" w:type="dxa"/>
            <w:tcBorders>
              <w:top w:val="single" w:sz="4" w:space="0" w:color="auto"/>
              <w:bottom w:val="single" w:sz="4" w:space="0" w:color="auto"/>
            </w:tcBorders>
          </w:tcPr>
          <w:p w:rsidR="00F264B6" w:rsidRPr="006768A2" w:rsidRDefault="00F264B6" w:rsidP="002C72C1">
            <w:pPr>
              <w:spacing w:after="0" w:line="240" w:lineRule="auto"/>
              <w:jc w:val="center"/>
              <w:rPr>
                <w:rFonts w:eastAsia="Times New Roman" w:cs="Times New Roman"/>
                <w:sz w:val="20"/>
                <w:szCs w:val="20"/>
              </w:rPr>
            </w:pPr>
            <w:r w:rsidRPr="006768A2">
              <w:rPr>
                <w:rFonts w:eastAsia="Times New Roman" w:cs="Times New Roman"/>
                <w:sz w:val="20"/>
                <w:szCs w:val="20"/>
              </w:rPr>
              <w:t>HHS</w:t>
            </w:r>
            <w:r w:rsidR="00897CDD" w:rsidRPr="006768A2">
              <w:rPr>
                <w:rFonts w:eastAsia="Times New Roman" w:cs="Times New Roman"/>
                <w:b/>
                <w:bCs/>
                <w:color w:val="00B050"/>
                <w:sz w:val="20"/>
                <w:szCs w:val="20"/>
              </w:rPr>
              <w:t>↑</w:t>
            </w:r>
          </w:p>
        </w:tc>
        <w:tc>
          <w:tcPr>
            <w:tcW w:w="943" w:type="dxa"/>
            <w:tcBorders>
              <w:top w:val="single" w:sz="4" w:space="0" w:color="auto"/>
              <w:bottom w:val="single" w:sz="4" w:space="0" w:color="auto"/>
            </w:tcBorders>
          </w:tcPr>
          <w:p w:rsidR="00F264B6" w:rsidRPr="006768A2" w:rsidRDefault="008F2E63" w:rsidP="002C72C1">
            <w:pPr>
              <w:spacing w:after="0" w:line="240" w:lineRule="auto"/>
              <w:jc w:val="center"/>
              <w:rPr>
                <w:rFonts w:eastAsia="Times New Roman" w:cs="Times New Roman"/>
                <w:sz w:val="20"/>
                <w:szCs w:val="20"/>
              </w:rPr>
            </w:pPr>
            <w:r w:rsidRPr="006768A2">
              <w:rPr>
                <w:rFonts w:eastAsia="Times New Roman" w:cs="Times New Roman"/>
                <w:color w:val="000000"/>
                <w:sz w:val="20"/>
                <w:szCs w:val="20"/>
              </w:rPr>
              <w:t>NSF</w:t>
            </w:r>
          </w:p>
        </w:tc>
        <w:tc>
          <w:tcPr>
            <w:tcW w:w="957" w:type="dxa"/>
            <w:tcBorders>
              <w:top w:val="single" w:sz="8" w:space="0" w:color="auto"/>
              <w:left w:val="nil"/>
              <w:bottom w:val="single" w:sz="8" w:space="0" w:color="auto"/>
              <w:right w:val="nil"/>
            </w:tcBorders>
          </w:tcPr>
          <w:p w:rsidR="00F264B6" w:rsidRPr="006768A2" w:rsidRDefault="00897CDD" w:rsidP="002C72C1">
            <w:pPr>
              <w:spacing w:after="0" w:line="240" w:lineRule="auto"/>
              <w:jc w:val="center"/>
              <w:rPr>
                <w:rFonts w:ascii="Calibri" w:hAnsi="Calibri"/>
                <w:color w:val="000000"/>
                <w:sz w:val="20"/>
                <w:szCs w:val="20"/>
              </w:rPr>
            </w:pPr>
            <w:r w:rsidRPr="006768A2">
              <w:rPr>
                <w:rFonts w:ascii="Calibri" w:hAnsi="Calibri"/>
                <w:color w:val="000000"/>
                <w:sz w:val="20"/>
                <w:szCs w:val="20"/>
              </w:rPr>
              <w:t>HUD</w:t>
            </w:r>
          </w:p>
        </w:tc>
        <w:tc>
          <w:tcPr>
            <w:tcW w:w="1088" w:type="dxa"/>
            <w:tcBorders>
              <w:top w:val="single" w:sz="8" w:space="0" w:color="auto"/>
              <w:left w:val="nil"/>
              <w:bottom w:val="single" w:sz="8" w:space="0" w:color="auto"/>
              <w:right w:val="nil"/>
            </w:tcBorders>
          </w:tcPr>
          <w:p w:rsidR="00F264B6" w:rsidRPr="006768A2" w:rsidRDefault="00897CDD" w:rsidP="002C72C1">
            <w:pPr>
              <w:spacing w:after="0" w:line="240" w:lineRule="auto"/>
              <w:jc w:val="center"/>
              <w:rPr>
                <w:rFonts w:ascii="Calibri" w:hAnsi="Calibri"/>
                <w:color w:val="000000"/>
                <w:sz w:val="20"/>
                <w:szCs w:val="20"/>
              </w:rPr>
            </w:pPr>
            <w:r w:rsidRPr="006768A2">
              <w:rPr>
                <w:rFonts w:ascii="Calibri" w:hAnsi="Calibri"/>
                <w:color w:val="000000"/>
                <w:sz w:val="20"/>
                <w:szCs w:val="20"/>
              </w:rPr>
              <w:t>DOT</w:t>
            </w:r>
          </w:p>
        </w:tc>
        <w:tc>
          <w:tcPr>
            <w:tcW w:w="960" w:type="dxa"/>
            <w:tcBorders>
              <w:top w:val="single" w:sz="4" w:space="0" w:color="auto"/>
              <w:left w:val="nil"/>
              <w:bottom w:val="single" w:sz="4" w:space="0" w:color="auto"/>
              <w:right w:val="nil"/>
            </w:tcBorders>
            <w:noWrap/>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DOJ</w:t>
            </w:r>
          </w:p>
        </w:tc>
        <w:tc>
          <w:tcPr>
            <w:tcW w:w="960" w:type="dxa"/>
            <w:tcBorders>
              <w:top w:val="single" w:sz="4" w:space="0" w:color="auto"/>
              <w:left w:val="nil"/>
              <w:bottom w:val="single" w:sz="4" w:space="0" w:color="auto"/>
              <w:right w:val="nil"/>
            </w:tcBorders>
          </w:tcPr>
          <w:p w:rsidR="00F264B6" w:rsidRPr="006768A2" w:rsidRDefault="00897CDD"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OPM</w:t>
            </w:r>
          </w:p>
        </w:tc>
        <w:tc>
          <w:tcPr>
            <w:tcW w:w="919" w:type="dxa"/>
          </w:tcPr>
          <w:p w:rsidR="00F264B6" w:rsidRPr="006768A2" w:rsidRDefault="00F264B6" w:rsidP="002C72C1">
            <w:pPr>
              <w:spacing w:after="0" w:line="240" w:lineRule="auto"/>
              <w:jc w:val="center"/>
              <w:rPr>
                <w:rFonts w:eastAsia="Times New Roman" w:cs="Times New Roman"/>
                <w:sz w:val="20"/>
                <w:szCs w:val="20"/>
              </w:rPr>
            </w:pPr>
          </w:p>
        </w:tc>
        <w:tc>
          <w:tcPr>
            <w:tcW w:w="960" w:type="dxa"/>
            <w:noWrap/>
          </w:tcPr>
          <w:p w:rsidR="00F264B6" w:rsidRPr="006768A2" w:rsidRDefault="00F264B6" w:rsidP="002C72C1">
            <w:pPr>
              <w:spacing w:after="0" w:line="240" w:lineRule="auto"/>
              <w:jc w:val="center"/>
              <w:rPr>
                <w:rFonts w:eastAsia="Times New Roman" w:cs="Times New Roman"/>
                <w:sz w:val="20"/>
                <w:szCs w:val="20"/>
              </w:rPr>
            </w:pPr>
          </w:p>
        </w:tc>
      </w:tr>
      <w:tr w:rsidR="008F2E63" w:rsidRPr="00934B58" w:rsidTr="002C72C1">
        <w:trPr>
          <w:trHeight w:val="97"/>
          <w:jc w:val="center"/>
        </w:trPr>
        <w:tc>
          <w:tcPr>
            <w:tcW w:w="918" w:type="dxa"/>
            <w:hideMark/>
          </w:tcPr>
          <w:p w:rsidR="008F2E63" w:rsidRPr="006768A2" w:rsidRDefault="008F2E63" w:rsidP="002C72C1">
            <w:pPr>
              <w:spacing w:after="0" w:line="240" w:lineRule="auto"/>
              <w:jc w:val="center"/>
              <w:rPr>
                <w:rFonts w:eastAsia="Times New Roman" w:cs="Times New Roman"/>
                <w:sz w:val="20"/>
                <w:szCs w:val="20"/>
              </w:rPr>
            </w:pPr>
          </w:p>
        </w:tc>
        <w:tc>
          <w:tcPr>
            <w:tcW w:w="941" w:type="dxa"/>
            <w:hideMark/>
          </w:tcPr>
          <w:p w:rsidR="008F2E63" w:rsidRPr="006768A2" w:rsidRDefault="008F2E63" w:rsidP="002C72C1">
            <w:pPr>
              <w:spacing w:after="0" w:line="240" w:lineRule="auto"/>
              <w:jc w:val="center"/>
              <w:rPr>
                <w:rFonts w:eastAsia="Times New Roman" w:cs="Times New Roman"/>
                <w:sz w:val="20"/>
                <w:szCs w:val="20"/>
              </w:rPr>
            </w:pPr>
          </w:p>
        </w:tc>
        <w:tc>
          <w:tcPr>
            <w:tcW w:w="954" w:type="dxa"/>
            <w:tcBorders>
              <w:top w:val="single" w:sz="4" w:space="0" w:color="auto"/>
              <w:bottom w:val="single" w:sz="4" w:space="0" w:color="auto"/>
            </w:tcBorders>
            <w:vAlign w:val="bottom"/>
          </w:tcPr>
          <w:p w:rsidR="008F2E63" w:rsidRPr="006768A2" w:rsidRDefault="008F2E63" w:rsidP="002C72C1">
            <w:pPr>
              <w:spacing w:after="0" w:line="240" w:lineRule="auto"/>
              <w:jc w:val="center"/>
              <w:rPr>
                <w:rFonts w:ascii="Calibri" w:hAnsi="Calibri"/>
                <w:color w:val="000000"/>
                <w:sz w:val="20"/>
                <w:szCs w:val="20"/>
              </w:rPr>
            </w:pPr>
            <w:r w:rsidRPr="006768A2">
              <w:rPr>
                <w:rFonts w:ascii="Calibri" w:hAnsi="Calibri"/>
                <w:color w:val="000000"/>
                <w:sz w:val="20"/>
                <w:szCs w:val="20"/>
              </w:rPr>
              <w:t>DOL</w:t>
            </w:r>
          </w:p>
        </w:tc>
        <w:tc>
          <w:tcPr>
            <w:tcW w:w="943" w:type="dxa"/>
            <w:tcBorders>
              <w:top w:val="single" w:sz="4" w:space="0" w:color="auto"/>
              <w:bottom w:val="single" w:sz="4" w:space="0" w:color="auto"/>
            </w:tcBorders>
            <w:vAlign w:val="bottom"/>
          </w:tcPr>
          <w:p w:rsidR="008F2E63" w:rsidRPr="006768A2" w:rsidRDefault="008F2E63" w:rsidP="002C72C1">
            <w:pPr>
              <w:spacing w:after="0" w:line="240" w:lineRule="auto"/>
              <w:jc w:val="center"/>
              <w:rPr>
                <w:rFonts w:ascii="Calibri" w:hAnsi="Calibri"/>
                <w:color w:val="000000"/>
                <w:sz w:val="20"/>
                <w:szCs w:val="20"/>
              </w:rPr>
            </w:pPr>
            <w:r w:rsidRPr="006768A2">
              <w:rPr>
                <w:rFonts w:eastAsia="Times New Roman" w:cs="Times New Roman"/>
                <w:sz w:val="20"/>
                <w:szCs w:val="20"/>
              </w:rPr>
              <w:t>SBA</w:t>
            </w:r>
            <w:r w:rsidRPr="006768A2">
              <w:rPr>
                <w:rFonts w:eastAsia="Times New Roman" w:cs="Times New Roman"/>
                <w:b/>
                <w:bCs/>
                <w:color w:val="00B050"/>
                <w:sz w:val="20"/>
                <w:szCs w:val="20"/>
              </w:rPr>
              <w:t>↑</w:t>
            </w:r>
          </w:p>
        </w:tc>
        <w:tc>
          <w:tcPr>
            <w:tcW w:w="2045" w:type="dxa"/>
            <w:gridSpan w:val="2"/>
            <w:tcBorders>
              <w:top w:val="single" w:sz="8" w:space="0" w:color="auto"/>
              <w:left w:val="nil"/>
              <w:bottom w:val="single" w:sz="8" w:space="0" w:color="auto"/>
              <w:right w:val="nil"/>
            </w:tcBorders>
          </w:tcPr>
          <w:p w:rsidR="008F2E63" w:rsidRPr="006768A2" w:rsidRDefault="008F2E63" w:rsidP="002C72C1">
            <w:pPr>
              <w:spacing w:after="0" w:line="240" w:lineRule="auto"/>
              <w:jc w:val="center"/>
              <w:rPr>
                <w:rFonts w:eastAsia="Times New Roman" w:cs="Times New Roman"/>
                <w:color w:val="000000"/>
                <w:sz w:val="20"/>
                <w:szCs w:val="20"/>
              </w:rPr>
            </w:pPr>
            <w:r w:rsidRPr="006768A2">
              <w:rPr>
                <w:rFonts w:eastAsia="Times New Roman" w:cs="Times New Roman"/>
                <w:color w:val="000000"/>
                <w:sz w:val="20"/>
                <w:szCs w:val="20"/>
              </w:rPr>
              <w:t>EPA</w:t>
            </w:r>
          </w:p>
        </w:tc>
        <w:tc>
          <w:tcPr>
            <w:tcW w:w="960" w:type="dxa"/>
            <w:tcBorders>
              <w:top w:val="single" w:sz="4" w:space="0" w:color="auto"/>
              <w:left w:val="nil"/>
              <w:right w:val="nil"/>
            </w:tcBorders>
            <w:noWrap/>
          </w:tcPr>
          <w:p w:rsidR="008F2E63" w:rsidRPr="006768A2" w:rsidRDefault="008F2E63" w:rsidP="002C72C1">
            <w:pPr>
              <w:spacing w:after="0" w:line="240" w:lineRule="auto"/>
              <w:jc w:val="center"/>
              <w:rPr>
                <w:rFonts w:eastAsia="Times New Roman" w:cs="Times New Roman"/>
                <w:color w:val="000000"/>
                <w:sz w:val="20"/>
                <w:szCs w:val="20"/>
              </w:rPr>
            </w:pPr>
          </w:p>
        </w:tc>
        <w:tc>
          <w:tcPr>
            <w:tcW w:w="960" w:type="dxa"/>
            <w:tcBorders>
              <w:top w:val="single" w:sz="4" w:space="0" w:color="auto"/>
              <w:left w:val="nil"/>
              <w:right w:val="nil"/>
            </w:tcBorders>
          </w:tcPr>
          <w:p w:rsidR="008F2E63" w:rsidRPr="006768A2" w:rsidRDefault="008F2E63" w:rsidP="002C72C1">
            <w:pPr>
              <w:spacing w:after="0" w:line="240" w:lineRule="auto"/>
              <w:jc w:val="center"/>
              <w:rPr>
                <w:rFonts w:eastAsia="Times New Roman" w:cs="Times New Roman"/>
                <w:color w:val="000000"/>
                <w:sz w:val="20"/>
                <w:szCs w:val="20"/>
              </w:rPr>
            </w:pPr>
          </w:p>
        </w:tc>
        <w:tc>
          <w:tcPr>
            <w:tcW w:w="919" w:type="dxa"/>
          </w:tcPr>
          <w:p w:rsidR="008F2E63" w:rsidRPr="006768A2" w:rsidRDefault="008F2E63" w:rsidP="002C72C1">
            <w:pPr>
              <w:spacing w:after="0" w:line="240" w:lineRule="auto"/>
              <w:jc w:val="center"/>
              <w:rPr>
                <w:rFonts w:eastAsia="Times New Roman" w:cs="Times New Roman"/>
                <w:sz w:val="20"/>
                <w:szCs w:val="20"/>
              </w:rPr>
            </w:pPr>
          </w:p>
        </w:tc>
        <w:tc>
          <w:tcPr>
            <w:tcW w:w="960" w:type="dxa"/>
            <w:noWrap/>
          </w:tcPr>
          <w:p w:rsidR="008F2E63" w:rsidRPr="006768A2" w:rsidRDefault="008F2E63" w:rsidP="002C72C1">
            <w:pPr>
              <w:spacing w:after="0" w:line="240" w:lineRule="auto"/>
              <w:jc w:val="center"/>
              <w:rPr>
                <w:rFonts w:eastAsia="Times New Roman" w:cs="Times New Roman"/>
                <w:sz w:val="20"/>
                <w:szCs w:val="20"/>
              </w:rPr>
            </w:pPr>
          </w:p>
        </w:tc>
      </w:tr>
      <w:tr w:rsidR="00F264B6" w:rsidRPr="00934B58" w:rsidTr="008F2E63">
        <w:trPr>
          <w:trHeight w:val="88"/>
          <w:jc w:val="center"/>
        </w:trPr>
        <w:tc>
          <w:tcPr>
            <w:tcW w:w="918" w:type="dxa"/>
            <w:hideMark/>
          </w:tcPr>
          <w:p w:rsidR="00F264B6" w:rsidRPr="006768A2" w:rsidRDefault="00F264B6" w:rsidP="002C72C1">
            <w:pPr>
              <w:spacing w:after="0" w:line="240" w:lineRule="auto"/>
              <w:jc w:val="center"/>
              <w:rPr>
                <w:rFonts w:eastAsia="Times New Roman" w:cs="Times New Roman"/>
                <w:sz w:val="20"/>
                <w:szCs w:val="20"/>
              </w:rPr>
            </w:pPr>
          </w:p>
        </w:tc>
        <w:tc>
          <w:tcPr>
            <w:tcW w:w="941" w:type="dxa"/>
            <w:hideMark/>
          </w:tcPr>
          <w:p w:rsidR="00F264B6" w:rsidRPr="006768A2" w:rsidRDefault="00F264B6" w:rsidP="002C72C1">
            <w:pPr>
              <w:spacing w:after="0" w:line="240" w:lineRule="auto"/>
              <w:jc w:val="center"/>
              <w:rPr>
                <w:rFonts w:eastAsia="Times New Roman" w:cs="Times New Roman"/>
                <w:sz w:val="20"/>
                <w:szCs w:val="20"/>
              </w:rPr>
            </w:pPr>
          </w:p>
        </w:tc>
        <w:tc>
          <w:tcPr>
            <w:tcW w:w="954" w:type="dxa"/>
            <w:tcBorders>
              <w:top w:val="single" w:sz="4" w:space="0" w:color="auto"/>
              <w:bottom w:val="single" w:sz="4" w:space="0" w:color="auto"/>
            </w:tcBorders>
            <w:vAlign w:val="bottom"/>
          </w:tcPr>
          <w:p w:rsidR="00F264B6" w:rsidRPr="006768A2" w:rsidRDefault="008F2E63" w:rsidP="002C72C1">
            <w:pPr>
              <w:spacing w:after="0" w:line="240" w:lineRule="auto"/>
              <w:jc w:val="center"/>
              <w:rPr>
                <w:rFonts w:ascii="Calibri" w:hAnsi="Calibri"/>
                <w:color w:val="000000"/>
                <w:sz w:val="20"/>
                <w:szCs w:val="20"/>
              </w:rPr>
            </w:pPr>
            <w:r w:rsidRPr="006768A2">
              <w:rPr>
                <w:rFonts w:ascii="Calibri" w:hAnsi="Calibri"/>
                <w:color w:val="000000"/>
                <w:sz w:val="20"/>
                <w:szCs w:val="20"/>
              </w:rPr>
              <w:t>VA</w:t>
            </w:r>
            <w:r w:rsidRPr="006768A2">
              <w:rPr>
                <w:rFonts w:eastAsia="Times New Roman" w:cs="Times New Roman"/>
                <w:b/>
                <w:bCs/>
                <w:color w:val="00B050"/>
                <w:sz w:val="20"/>
                <w:szCs w:val="20"/>
              </w:rPr>
              <w:t>↑</w:t>
            </w:r>
          </w:p>
        </w:tc>
        <w:tc>
          <w:tcPr>
            <w:tcW w:w="943" w:type="dxa"/>
            <w:tcBorders>
              <w:top w:val="single" w:sz="4" w:space="0" w:color="auto"/>
              <w:bottom w:val="single" w:sz="4" w:space="0" w:color="auto"/>
            </w:tcBorders>
            <w:vAlign w:val="bottom"/>
          </w:tcPr>
          <w:p w:rsidR="00F264B6" w:rsidRPr="006768A2" w:rsidRDefault="008F2E63" w:rsidP="002C72C1">
            <w:pPr>
              <w:spacing w:after="0" w:line="240" w:lineRule="auto"/>
              <w:jc w:val="center"/>
              <w:rPr>
                <w:rFonts w:ascii="Calibri" w:hAnsi="Calibri"/>
                <w:color w:val="000000"/>
                <w:sz w:val="20"/>
                <w:szCs w:val="20"/>
              </w:rPr>
            </w:pPr>
            <w:r w:rsidRPr="006768A2">
              <w:rPr>
                <w:rFonts w:ascii="Calibri" w:hAnsi="Calibri"/>
                <w:color w:val="000000"/>
                <w:sz w:val="20"/>
                <w:szCs w:val="20"/>
              </w:rPr>
              <w:t>SSA</w:t>
            </w:r>
            <w:r w:rsidRPr="006768A2">
              <w:rPr>
                <w:rFonts w:eastAsia="Times New Roman" w:cs="Times New Roman"/>
                <w:b/>
                <w:bCs/>
                <w:color w:val="00B050"/>
                <w:sz w:val="20"/>
                <w:szCs w:val="20"/>
              </w:rPr>
              <w:t>↑</w:t>
            </w:r>
          </w:p>
        </w:tc>
        <w:tc>
          <w:tcPr>
            <w:tcW w:w="957" w:type="dxa"/>
            <w:tcBorders>
              <w:top w:val="single" w:sz="8" w:space="0" w:color="auto"/>
              <w:left w:val="nil"/>
              <w:right w:val="nil"/>
            </w:tcBorders>
          </w:tcPr>
          <w:p w:rsidR="00F264B6" w:rsidRPr="006768A2" w:rsidRDefault="00F264B6" w:rsidP="002C72C1">
            <w:pPr>
              <w:spacing w:after="0" w:line="240" w:lineRule="auto"/>
              <w:jc w:val="center"/>
              <w:rPr>
                <w:rFonts w:ascii="Calibri" w:hAnsi="Calibri"/>
                <w:color w:val="000000"/>
                <w:sz w:val="20"/>
                <w:szCs w:val="20"/>
              </w:rPr>
            </w:pPr>
          </w:p>
        </w:tc>
        <w:tc>
          <w:tcPr>
            <w:tcW w:w="1088" w:type="dxa"/>
            <w:tcBorders>
              <w:left w:val="nil"/>
              <w:right w:val="nil"/>
            </w:tcBorders>
            <w:noWrap/>
          </w:tcPr>
          <w:p w:rsidR="00F264B6" w:rsidRPr="006768A2" w:rsidRDefault="00F264B6" w:rsidP="002C72C1">
            <w:pPr>
              <w:spacing w:after="0" w:line="240" w:lineRule="auto"/>
              <w:jc w:val="center"/>
              <w:rPr>
                <w:rFonts w:eastAsia="Times New Roman" w:cs="Times New Roman"/>
                <w:color w:val="000000"/>
                <w:sz w:val="20"/>
                <w:szCs w:val="20"/>
              </w:rPr>
            </w:pPr>
          </w:p>
        </w:tc>
        <w:tc>
          <w:tcPr>
            <w:tcW w:w="960" w:type="dxa"/>
            <w:tcBorders>
              <w:left w:val="nil"/>
              <w:right w:val="nil"/>
            </w:tcBorders>
            <w:noWrap/>
          </w:tcPr>
          <w:p w:rsidR="00F264B6" w:rsidRPr="006768A2" w:rsidRDefault="00F264B6" w:rsidP="002C72C1">
            <w:pPr>
              <w:spacing w:after="0" w:line="240" w:lineRule="auto"/>
              <w:jc w:val="center"/>
              <w:rPr>
                <w:rFonts w:eastAsia="Times New Roman" w:cs="Times New Roman"/>
                <w:color w:val="000000"/>
                <w:sz w:val="20"/>
                <w:szCs w:val="20"/>
              </w:rPr>
            </w:pPr>
          </w:p>
        </w:tc>
        <w:tc>
          <w:tcPr>
            <w:tcW w:w="960" w:type="dxa"/>
            <w:tcBorders>
              <w:left w:val="nil"/>
              <w:right w:val="nil"/>
            </w:tcBorders>
          </w:tcPr>
          <w:p w:rsidR="00F264B6" w:rsidRPr="006768A2" w:rsidRDefault="00F264B6" w:rsidP="002C72C1">
            <w:pPr>
              <w:spacing w:after="0" w:line="240" w:lineRule="auto"/>
              <w:jc w:val="center"/>
              <w:rPr>
                <w:rFonts w:eastAsia="Times New Roman" w:cs="Times New Roman"/>
                <w:color w:val="000000"/>
                <w:sz w:val="20"/>
                <w:szCs w:val="20"/>
              </w:rPr>
            </w:pPr>
          </w:p>
        </w:tc>
        <w:tc>
          <w:tcPr>
            <w:tcW w:w="919" w:type="dxa"/>
          </w:tcPr>
          <w:p w:rsidR="00F264B6" w:rsidRPr="006768A2" w:rsidRDefault="00F264B6" w:rsidP="002C72C1">
            <w:pPr>
              <w:spacing w:after="0" w:line="240" w:lineRule="auto"/>
              <w:jc w:val="center"/>
              <w:rPr>
                <w:rFonts w:eastAsia="Times New Roman" w:cs="Times New Roman"/>
                <w:sz w:val="20"/>
                <w:szCs w:val="20"/>
              </w:rPr>
            </w:pPr>
          </w:p>
        </w:tc>
        <w:tc>
          <w:tcPr>
            <w:tcW w:w="960" w:type="dxa"/>
            <w:noWrap/>
          </w:tcPr>
          <w:p w:rsidR="00F264B6" w:rsidRPr="006768A2" w:rsidRDefault="00F264B6" w:rsidP="002C72C1">
            <w:pPr>
              <w:spacing w:after="0" w:line="240" w:lineRule="auto"/>
              <w:jc w:val="center"/>
              <w:rPr>
                <w:rFonts w:eastAsia="Times New Roman" w:cs="Times New Roman"/>
                <w:sz w:val="20"/>
                <w:szCs w:val="20"/>
              </w:rPr>
            </w:pPr>
          </w:p>
        </w:tc>
      </w:tr>
      <w:tr w:rsidR="008F2E63" w:rsidRPr="00934B58" w:rsidTr="002C72C1">
        <w:trPr>
          <w:trHeight w:val="88"/>
          <w:jc w:val="center"/>
        </w:trPr>
        <w:tc>
          <w:tcPr>
            <w:tcW w:w="918" w:type="dxa"/>
          </w:tcPr>
          <w:p w:rsidR="008F2E63" w:rsidRPr="006768A2" w:rsidRDefault="008F2E63" w:rsidP="002C72C1">
            <w:pPr>
              <w:spacing w:after="0" w:line="240" w:lineRule="auto"/>
              <w:jc w:val="center"/>
              <w:rPr>
                <w:rFonts w:eastAsia="Times New Roman" w:cs="Times New Roman"/>
                <w:sz w:val="20"/>
                <w:szCs w:val="20"/>
              </w:rPr>
            </w:pPr>
          </w:p>
        </w:tc>
        <w:tc>
          <w:tcPr>
            <w:tcW w:w="941" w:type="dxa"/>
          </w:tcPr>
          <w:p w:rsidR="008F2E63" w:rsidRPr="006768A2" w:rsidRDefault="008F2E63" w:rsidP="002C72C1">
            <w:pPr>
              <w:spacing w:after="0" w:line="240" w:lineRule="auto"/>
              <w:jc w:val="center"/>
              <w:rPr>
                <w:rFonts w:eastAsia="Times New Roman" w:cs="Times New Roman"/>
                <w:sz w:val="20"/>
                <w:szCs w:val="20"/>
              </w:rPr>
            </w:pPr>
          </w:p>
        </w:tc>
        <w:tc>
          <w:tcPr>
            <w:tcW w:w="1897" w:type="dxa"/>
            <w:gridSpan w:val="2"/>
            <w:tcBorders>
              <w:top w:val="single" w:sz="4" w:space="0" w:color="auto"/>
              <w:bottom w:val="single" w:sz="4" w:space="0" w:color="auto"/>
            </w:tcBorders>
            <w:vAlign w:val="bottom"/>
          </w:tcPr>
          <w:p w:rsidR="008F2E63" w:rsidRPr="006768A2" w:rsidRDefault="008F2E63" w:rsidP="002C72C1">
            <w:pPr>
              <w:spacing w:after="0" w:line="240" w:lineRule="auto"/>
              <w:jc w:val="center"/>
              <w:rPr>
                <w:rFonts w:ascii="Calibri" w:hAnsi="Calibri"/>
                <w:color w:val="000000"/>
                <w:sz w:val="20"/>
                <w:szCs w:val="20"/>
              </w:rPr>
            </w:pPr>
            <w:r w:rsidRPr="006768A2">
              <w:rPr>
                <w:rFonts w:ascii="Calibri" w:hAnsi="Calibri"/>
                <w:color w:val="000000"/>
                <w:sz w:val="20"/>
                <w:szCs w:val="20"/>
              </w:rPr>
              <w:t>USAID</w:t>
            </w:r>
            <w:r w:rsidRPr="006768A2">
              <w:rPr>
                <w:rFonts w:eastAsia="Times New Roman" w:cs="Times New Roman"/>
                <w:b/>
                <w:bCs/>
                <w:color w:val="00B050"/>
                <w:sz w:val="20"/>
                <w:szCs w:val="20"/>
              </w:rPr>
              <w:t>↑</w:t>
            </w:r>
          </w:p>
        </w:tc>
        <w:tc>
          <w:tcPr>
            <w:tcW w:w="957" w:type="dxa"/>
            <w:tcBorders>
              <w:left w:val="nil"/>
              <w:right w:val="nil"/>
            </w:tcBorders>
          </w:tcPr>
          <w:p w:rsidR="008F2E63" w:rsidRPr="006768A2" w:rsidRDefault="008F2E63" w:rsidP="002C72C1">
            <w:pPr>
              <w:spacing w:after="0" w:line="240" w:lineRule="auto"/>
              <w:jc w:val="center"/>
              <w:rPr>
                <w:rFonts w:ascii="Calibri" w:hAnsi="Calibri"/>
                <w:color w:val="000000"/>
                <w:sz w:val="20"/>
                <w:szCs w:val="20"/>
              </w:rPr>
            </w:pPr>
          </w:p>
        </w:tc>
        <w:tc>
          <w:tcPr>
            <w:tcW w:w="1088" w:type="dxa"/>
            <w:tcBorders>
              <w:left w:val="nil"/>
              <w:right w:val="nil"/>
            </w:tcBorders>
            <w:noWrap/>
          </w:tcPr>
          <w:p w:rsidR="008F2E63" w:rsidRPr="006768A2" w:rsidRDefault="008F2E63" w:rsidP="002C72C1">
            <w:pPr>
              <w:spacing w:after="0" w:line="240" w:lineRule="auto"/>
              <w:jc w:val="center"/>
              <w:rPr>
                <w:rFonts w:eastAsia="Times New Roman" w:cs="Times New Roman"/>
                <w:color w:val="000000"/>
                <w:sz w:val="20"/>
                <w:szCs w:val="20"/>
              </w:rPr>
            </w:pPr>
          </w:p>
        </w:tc>
        <w:tc>
          <w:tcPr>
            <w:tcW w:w="960" w:type="dxa"/>
            <w:tcBorders>
              <w:left w:val="nil"/>
              <w:right w:val="nil"/>
            </w:tcBorders>
            <w:noWrap/>
          </w:tcPr>
          <w:p w:rsidR="008F2E63" w:rsidRPr="006768A2" w:rsidRDefault="008F2E63" w:rsidP="002C72C1">
            <w:pPr>
              <w:spacing w:after="0" w:line="240" w:lineRule="auto"/>
              <w:jc w:val="center"/>
              <w:rPr>
                <w:rFonts w:eastAsia="Times New Roman" w:cs="Times New Roman"/>
                <w:color w:val="000000"/>
                <w:sz w:val="20"/>
                <w:szCs w:val="20"/>
              </w:rPr>
            </w:pPr>
          </w:p>
        </w:tc>
        <w:tc>
          <w:tcPr>
            <w:tcW w:w="960" w:type="dxa"/>
            <w:tcBorders>
              <w:left w:val="nil"/>
              <w:right w:val="nil"/>
            </w:tcBorders>
          </w:tcPr>
          <w:p w:rsidR="008F2E63" w:rsidRPr="006768A2" w:rsidRDefault="008F2E63" w:rsidP="002C72C1">
            <w:pPr>
              <w:spacing w:after="0" w:line="240" w:lineRule="auto"/>
              <w:jc w:val="center"/>
              <w:rPr>
                <w:rFonts w:eastAsia="Times New Roman" w:cs="Times New Roman"/>
                <w:color w:val="000000"/>
                <w:sz w:val="20"/>
                <w:szCs w:val="20"/>
              </w:rPr>
            </w:pPr>
          </w:p>
        </w:tc>
        <w:tc>
          <w:tcPr>
            <w:tcW w:w="919" w:type="dxa"/>
          </w:tcPr>
          <w:p w:rsidR="008F2E63" w:rsidRPr="006768A2" w:rsidRDefault="008F2E63" w:rsidP="002C72C1">
            <w:pPr>
              <w:spacing w:after="0" w:line="240" w:lineRule="auto"/>
              <w:jc w:val="center"/>
              <w:rPr>
                <w:rFonts w:eastAsia="Times New Roman" w:cs="Times New Roman"/>
                <w:sz w:val="20"/>
                <w:szCs w:val="20"/>
              </w:rPr>
            </w:pPr>
          </w:p>
        </w:tc>
        <w:tc>
          <w:tcPr>
            <w:tcW w:w="960" w:type="dxa"/>
            <w:noWrap/>
          </w:tcPr>
          <w:p w:rsidR="008F2E63" w:rsidRPr="006768A2" w:rsidRDefault="008F2E63" w:rsidP="002C72C1">
            <w:pPr>
              <w:spacing w:after="0" w:line="240" w:lineRule="auto"/>
              <w:jc w:val="center"/>
              <w:rPr>
                <w:rFonts w:eastAsia="Times New Roman" w:cs="Times New Roman"/>
                <w:sz w:val="20"/>
                <w:szCs w:val="20"/>
              </w:rPr>
            </w:pPr>
          </w:p>
        </w:tc>
      </w:tr>
    </w:tbl>
    <w:p w:rsidR="00EB78F0" w:rsidRDefault="00EB78F0" w:rsidP="002C72C1">
      <w:pPr>
        <w:spacing w:line="240" w:lineRule="auto"/>
      </w:pPr>
    </w:p>
    <w:p w:rsidR="008762CA" w:rsidRDefault="009412CE" w:rsidP="002C72C1">
      <w:pPr>
        <w:spacing w:line="240" w:lineRule="auto"/>
      </w:pPr>
      <w:r w:rsidRPr="00EC1317">
        <w:t xml:space="preserve">Since the prior scorecard in </w:t>
      </w:r>
      <w:r w:rsidR="00934B58">
        <w:t>May 2018</w:t>
      </w:r>
      <w:r w:rsidRPr="00EC1317">
        <w:t xml:space="preserve">, </w:t>
      </w:r>
      <w:r w:rsidR="00897CDD" w:rsidRPr="006768A2">
        <w:t>1</w:t>
      </w:r>
      <w:r w:rsidR="008F2E63">
        <w:t>1</w:t>
      </w:r>
      <w:r w:rsidRPr="00EC1317">
        <w:t xml:space="preserve"> agencies increased their letter grade</w:t>
      </w:r>
      <w:r w:rsidR="0091168F">
        <w:t xml:space="preserve"> and </w:t>
      </w:r>
      <w:r w:rsidR="00897CDD" w:rsidRPr="006768A2">
        <w:t>1</w:t>
      </w:r>
      <w:r w:rsidR="008F2E63">
        <w:t>3</w:t>
      </w:r>
      <w:r w:rsidRPr="00EC1317">
        <w:t xml:space="preserve"> remained the same</w:t>
      </w:r>
      <w:r w:rsidR="0091168F">
        <w:t xml:space="preserve">. </w:t>
      </w:r>
      <w:r w:rsidR="00897CDD">
        <w:t>Much of this growth is due to agencies’ improvements in the software licensing area. In particular,</w:t>
      </w:r>
      <w:r w:rsidR="001C6D41">
        <w:t xml:space="preserve"> since the committee included software licensing area on the Scorecard in June 2017, 16 agencies have</w:t>
      </w:r>
      <w:r w:rsidR="001C6D41" w:rsidRPr="001C6D41">
        <w:t xml:space="preserve"> </w:t>
      </w:r>
      <w:r w:rsidR="001C6D41">
        <w:t xml:space="preserve">implemented </w:t>
      </w:r>
      <w:r w:rsidR="001C6D41" w:rsidRPr="000B4119">
        <w:t>a comprehensive, regularly-updated inventory of software licenses</w:t>
      </w:r>
      <w:r w:rsidR="001C6D41">
        <w:t xml:space="preserve">; and also used their </w:t>
      </w:r>
      <w:r w:rsidR="001C6D41" w:rsidRPr="000B4119">
        <w:t>inventory to make cost-effective decisions</w:t>
      </w:r>
      <w:r w:rsidR="001C6D41">
        <w:t xml:space="preserve">. </w:t>
      </w:r>
      <w:r w:rsidR="003B42DB" w:rsidRPr="003B42DB">
        <w:t>In addition</w:t>
      </w:r>
      <w:r w:rsidRPr="003B42DB">
        <w:t xml:space="preserve">, </w:t>
      </w:r>
      <w:r w:rsidR="003B42DB" w:rsidRPr="003B42DB">
        <w:t xml:space="preserve">HHS’s </w:t>
      </w:r>
      <w:r w:rsidRPr="003B42DB">
        <w:t>CIO</w:t>
      </w:r>
      <w:r w:rsidR="003B42DB" w:rsidRPr="003B42DB">
        <w:t xml:space="preserve"> </w:t>
      </w:r>
      <w:r w:rsidRPr="003B42DB">
        <w:t>now report</w:t>
      </w:r>
      <w:r w:rsidR="003B42DB" w:rsidRPr="003B42DB">
        <w:t>s</w:t>
      </w:r>
      <w:r w:rsidRPr="003B42DB">
        <w:t xml:space="preserve"> directly to the </w:t>
      </w:r>
      <w:r w:rsidR="003B42DB" w:rsidRPr="003B42DB">
        <w:t>Secretary</w:t>
      </w:r>
      <w:r w:rsidRPr="003B42DB">
        <w:t>, which changed their prior “-” suffix to a “+.”</w:t>
      </w:r>
      <w:r w:rsidR="008762CA">
        <w:br w:type="page"/>
      </w:r>
    </w:p>
    <w:p w:rsidR="00C62A4A" w:rsidRPr="008B2287" w:rsidRDefault="005C4065" w:rsidP="002C72C1">
      <w:pPr>
        <w:pStyle w:val="Heading2"/>
        <w:pBdr>
          <w:bottom w:val="single" w:sz="4" w:space="1" w:color="auto"/>
        </w:pBdr>
        <w:spacing w:line="240" w:lineRule="auto"/>
        <w:rPr>
          <w:rFonts w:asciiTheme="minorHAnsi" w:hAnsiTheme="minorHAnsi"/>
        </w:rPr>
      </w:pPr>
      <w:r w:rsidRPr="008B2287">
        <w:rPr>
          <w:rFonts w:asciiTheme="minorHAnsi" w:hAnsiTheme="minorHAnsi"/>
        </w:rPr>
        <w:lastRenderedPageBreak/>
        <w:t xml:space="preserve">Agency </w:t>
      </w:r>
      <w:r w:rsidR="00C62A4A" w:rsidRPr="008B2287">
        <w:rPr>
          <w:rFonts w:asciiTheme="minorHAnsi" w:hAnsiTheme="minorHAnsi"/>
        </w:rPr>
        <w:t xml:space="preserve">CIO </w:t>
      </w:r>
      <w:r w:rsidRPr="008B2287">
        <w:rPr>
          <w:rFonts w:asciiTheme="minorHAnsi" w:hAnsiTheme="minorHAnsi"/>
        </w:rPr>
        <w:t>A</w:t>
      </w:r>
      <w:r w:rsidR="00C62A4A" w:rsidRPr="008B2287">
        <w:rPr>
          <w:rFonts w:asciiTheme="minorHAnsi" w:hAnsiTheme="minorHAnsi"/>
        </w:rPr>
        <w:t xml:space="preserve">uthority </w:t>
      </w:r>
      <w:r w:rsidRPr="008B2287">
        <w:rPr>
          <w:rFonts w:asciiTheme="minorHAnsi" w:hAnsiTheme="minorHAnsi"/>
        </w:rPr>
        <w:t>E</w:t>
      </w:r>
      <w:r w:rsidR="00C62A4A" w:rsidRPr="008B2287">
        <w:rPr>
          <w:rFonts w:asciiTheme="minorHAnsi" w:hAnsiTheme="minorHAnsi"/>
        </w:rPr>
        <w:t>nhancements (Incremental Development)</w:t>
      </w:r>
    </w:p>
    <w:p w:rsidR="005C4065" w:rsidRPr="008B2287" w:rsidRDefault="00570FC6" w:rsidP="002C72C1">
      <w:pPr>
        <w:pStyle w:val="BodyText"/>
        <w:spacing w:line="240" w:lineRule="auto"/>
      </w:pPr>
      <w:r w:rsidRPr="008B2287">
        <w:t>FITARA requires CIOs to certify that IT investments are adequately implementing incremental development.</w:t>
      </w:r>
    </w:p>
    <w:p w:rsidR="005C4065" w:rsidRPr="008B2287" w:rsidRDefault="00570FC6" w:rsidP="002C72C1">
      <w:pPr>
        <w:pStyle w:val="BodyText"/>
        <w:spacing w:line="240" w:lineRule="auto"/>
      </w:pPr>
      <w:r w:rsidRPr="008B2287">
        <w:rPr>
          <w:rStyle w:val="Heading3Char"/>
          <w:rFonts w:asciiTheme="minorHAnsi" w:hAnsiTheme="minorHAnsi"/>
        </w:rPr>
        <w:t>Why it’s important</w:t>
      </w:r>
      <w:r w:rsidR="005C4065" w:rsidRPr="008B2287">
        <w:rPr>
          <w:rStyle w:val="Heading3Char"/>
          <w:rFonts w:asciiTheme="minorHAnsi" w:hAnsiTheme="minorHAnsi"/>
        </w:rPr>
        <w:t>:</w:t>
      </w:r>
      <w:r w:rsidR="005C4065" w:rsidRPr="008B2287">
        <w:t xml:space="preserve"> </w:t>
      </w:r>
      <w:r w:rsidR="000859C7" w:rsidRPr="008B2287">
        <w:t>A</w:t>
      </w:r>
      <w:r w:rsidR="001F0552" w:rsidRPr="008B2287">
        <w:t xml:space="preserve">gencies have reported that poor-performing projects have often used a “big bang” approach—that is, projects that are broadly scoped and aim to deliver functionality several years after initiation. Consequently, </w:t>
      </w:r>
      <w:r w:rsidR="005C4065" w:rsidRPr="008B2287">
        <w:t xml:space="preserve">OMB has required </w:t>
      </w:r>
      <w:r w:rsidR="00F94147" w:rsidRPr="008B2287">
        <w:t xml:space="preserve">agencies’ </w:t>
      </w:r>
      <w:r w:rsidR="005C4065" w:rsidRPr="008B2287">
        <w:t>investments to deliver functionality every 6 months.</w:t>
      </w:r>
      <w:r w:rsidR="000859C7" w:rsidRPr="008B2287">
        <w:t xml:space="preserve"> Congress, OMB, and GAO’s work support the use of incremental development practices.</w:t>
      </w:r>
    </w:p>
    <w:tbl>
      <w:tblPr>
        <w:tblpPr w:leftFromText="187" w:rightFromText="187" w:vertAnchor="text" w:tblpXSpec="right" w:tblpY="1"/>
        <w:tblOverlap w:val="never"/>
        <w:tblW w:w="8377" w:type="dxa"/>
        <w:tblLayout w:type="fixed"/>
        <w:tblLook w:val="04A0" w:firstRow="1" w:lastRow="0" w:firstColumn="1" w:lastColumn="0" w:noHBand="0" w:noVBand="1"/>
      </w:tblPr>
      <w:tblGrid>
        <w:gridCol w:w="864"/>
        <w:gridCol w:w="990"/>
        <w:gridCol w:w="1710"/>
        <w:gridCol w:w="691"/>
        <w:gridCol w:w="691"/>
        <w:gridCol w:w="691"/>
        <w:gridCol w:w="691"/>
        <w:gridCol w:w="691"/>
        <w:gridCol w:w="691"/>
        <w:gridCol w:w="667"/>
      </w:tblGrid>
      <w:tr w:rsidR="009F1536" w:rsidRPr="00F10819" w:rsidTr="00934B58">
        <w:trPr>
          <w:trHeight w:val="173"/>
        </w:trPr>
        <w:tc>
          <w:tcPr>
            <w:tcW w:w="864" w:type="dxa"/>
            <w:tcBorders>
              <w:top w:val="nil"/>
              <w:left w:val="nil"/>
              <w:bottom w:val="single" w:sz="8" w:space="0" w:color="auto"/>
              <w:right w:val="nil"/>
            </w:tcBorders>
            <w:shd w:val="clear" w:color="auto" w:fill="auto"/>
            <w:noWrap/>
            <w:vAlign w:val="bottom"/>
            <w:hideMark/>
          </w:tcPr>
          <w:p w:rsidR="00934B58" w:rsidRPr="00F10819" w:rsidRDefault="00934B58" w:rsidP="002C72C1">
            <w:pPr>
              <w:spacing w:after="0" w:line="240" w:lineRule="auto"/>
              <w:rPr>
                <w:rFonts w:eastAsia="Times New Roman" w:cs="Times New Roman"/>
                <w:b/>
                <w:bCs/>
                <w:sz w:val="20"/>
                <w:szCs w:val="20"/>
              </w:rPr>
            </w:pPr>
            <w:r w:rsidRPr="00F10819">
              <w:rPr>
                <w:rFonts w:eastAsia="Times New Roman" w:cs="Times New Roman"/>
                <w:b/>
                <w:bCs/>
                <w:sz w:val="20"/>
                <w:szCs w:val="20"/>
              </w:rPr>
              <w:t>Agency</w:t>
            </w:r>
          </w:p>
        </w:tc>
        <w:tc>
          <w:tcPr>
            <w:tcW w:w="990" w:type="dxa"/>
            <w:tcBorders>
              <w:top w:val="nil"/>
              <w:left w:val="nil"/>
              <w:bottom w:val="single" w:sz="8" w:space="0" w:color="auto"/>
              <w:right w:val="nil"/>
            </w:tcBorders>
            <w:shd w:val="clear" w:color="auto" w:fill="auto"/>
            <w:vAlign w:val="bottom"/>
            <w:hideMark/>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Software projects</w:t>
            </w:r>
          </w:p>
        </w:tc>
        <w:tc>
          <w:tcPr>
            <w:tcW w:w="1710" w:type="dxa"/>
            <w:tcBorders>
              <w:top w:val="nil"/>
              <w:left w:val="nil"/>
              <w:bottom w:val="single" w:sz="8" w:space="0" w:color="auto"/>
              <w:right w:val="nil"/>
            </w:tcBorders>
            <w:shd w:val="clear" w:color="auto" w:fill="auto"/>
            <w:vAlign w:val="bottom"/>
            <w:hideMark/>
          </w:tcPr>
          <w:p w:rsidR="00934B58" w:rsidRPr="00F10819" w:rsidRDefault="00934B58" w:rsidP="002C72C1">
            <w:pPr>
              <w:spacing w:after="0" w:line="240" w:lineRule="auto"/>
              <w:jc w:val="center"/>
              <w:rPr>
                <w:rFonts w:eastAsia="Times New Roman" w:cs="Times New Roman"/>
                <w:b/>
                <w:bCs/>
                <w:sz w:val="20"/>
                <w:szCs w:val="20"/>
                <w:highlight w:val="yellow"/>
              </w:rPr>
            </w:pPr>
            <w:r w:rsidRPr="00F10819">
              <w:rPr>
                <w:rFonts w:eastAsia="Times New Roman" w:cs="Times New Roman"/>
                <w:b/>
                <w:bCs/>
                <w:sz w:val="20"/>
                <w:szCs w:val="20"/>
              </w:rPr>
              <w:t>Incremental software projects</w:t>
            </w:r>
          </w:p>
        </w:tc>
        <w:tc>
          <w:tcPr>
            <w:tcW w:w="691" w:type="dxa"/>
            <w:tcBorders>
              <w:top w:val="nil"/>
              <w:left w:val="nil"/>
              <w:bottom w:val="single" w:sz="8" w:space="0" w:color="auto"/>
              <w:right w:val="nil"/>
            </w:tcBorders>
            <w:vAlign w:val="bottom"/>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Dec. 2018</w:t>
            </w:r>
          </w:p>
        </w:tc>
        <w:tc>
          <w:tcPr>
            <w:tcW w:w="691" w:type="dxa"/>
            <w:tcBorders>
              <w:top w:val="nil"/>
              <w:left w:val="nil"/>
              <w:bottom w:val="single" w:sz="8" w:space="0" w:color="auto"/>
              <w:right w:val="nil"/>
            </w:tcBorders>
            <w:shd w:val="clear" w:color="auto" w:fill="auto"/>
            <w:vAlign w:val="bottom"/>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May 2018</w:t>
            </w:r>
          </w:p>
        </w:tc>
        <w:tc>
          <w:tcPr>
            <w:tcW w:w="691" w:type="dxa"/>
            <w:tcBorders>
              <w:top w:val="nil"/>
              <w:left w:val="nil"/>
              <w:bottom w:val="single" w:sz="8" w:space="0" w:color="auto"/>
              <w:right w:val="nil"/>
            </w:tcBorders>
            <w:shd w:val="clear" w:color="auto" w:fill="auto"/>
            <w:vAlign w:val="bottom"/>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Nov. 2017</w:t>
            </w:r>
          </w:p>
        </w:tc>
        <w:tc>
          <w:tcPr>
            <w:tcW w:w="691" w:type="dxa"/>
            <w:tcBorders>
              <w:top w:val="nil"/>
              <w:left w:val="nil"/>
              <w:bottom w:val="single" w:sz="8" w:space="0" w:color="auto"/>
              <w:right w:val="nil"/>
            </w:tcBorders>
            <w:shd w:val="clear" w:color="auto" w:fill="auto"/>
            <w:vAlign w:val="bottom"/>
            <w:hideMark/>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June 2017</w:t>
            </w:r>
          </w:p>
        </w:tc>
        <w:tc>
          <w:tcPr>
            <w:tcW w:w="691" w:type="dxa"/>
            <w:tcBorders>
              <w:top w:val="nil"/>
              <w:left w:val="nil"/>
              <w:bottom w:val="single" w:sz="8" w:space="0" w:color="auto"/>
              <w:right w:val="nil"/>
            </w:tcBorders>
            <w:shd w:val="clear" w:color="auto" w:fill="auto"/>
            <w:vAlign w:val="bottom"/>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Dec. 2016</w:t>
            </w:r>
          </w:p>
        </w:tc>
        <w:tc>
          <w:tcPr>
            <w:tcW w:w="691" w:type="dxa"/>
            <w:tcBorders>
              <w:top w:val="nil"/>
              <w:left w:val="nil"/>
              <w:bottom w:val="single" w:sz="8" w:space="0" w:color="auto"/>
              <w:right w:val="nil"/>
            </w:tcBorders>
            <w:shd w:val="clear" w:color="auto" w:fill="auto"/>
            <w:vAlign w:val="bottom"/>
            <w:hideMark/>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May 2016</w:t>
            </w:r>
          </w:p>
        </w:tc>
        <w:tc>
          <w:tcPr>
            <w:tcW w:w="667" w:type="dxa"/>
            <w:tcBorders>
              <w:top w:val="nil"/>
              <w:left w:val="nil"/>
              <w:bottom w:val="single" w:sz="8" w:space="0" w:color="auto"/>
              <w:right w:val="nil"/>
            </w:tcBorders>
            <w:shd w:val="clear" w:color="auto" w:fill="auto"/>
            <w:vAlign w:val="bottom"/>
            <w:hideMark/>
          </w:tcPr>
          <w:p w:rsidR="00934B58" w:rsidRPr="00F10819" w:rsidRDefault="00934B58"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Nov. 2015</w:t>
            </w:r>
          </w:p>
        </w:tc>
      </w:tr>
      <w:tr w:rsidR="009F1536" w:rsidRPr="00F10819" w:rsidTr="009F1536">
        <w:trPr>
          <w:trHeight w:val="173"/>
        </w:trPr>
        <w:tc>
          <w:tcPr>
            <w:tcW w:w="864" w:type="dxa"/>
            <w:tcBorders>
              <w:top w:val="single" w:sz="8" w:space="0" w:color="auto"/>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USDA</w:t>
            </w:r>
          </w:p>
        </w:tc>
        <w:tc>
          <w:tcPr>
            <w:tcW w:w="990"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35</w:t>
            </w:r>
          </w:p>
        </w:tc>
        <w:tc>
          <w:tcPr>
            <w:tcW w:w="1710"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24</w:t>
            </w:r>
          </w:p>
        </w:tc>
        <w:tc>
          <w:tcPr>
            <w:tcW w:w="691"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69%</w:t>
            </w:r>
          </w:p>
        </w:tc>
        <w:tc>
          <w:tcPr>
            <w:tcW w:w="691"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center"/>
              <w:rPr>
                <w:sz w:val="20"/>
                <w:szCs w:val="20"/>
              </w:rPr>
            </w:pPr>
            <w:r w:rsidRPr="00F10819">
              <w:rPr>
                <w:sz w:val="20"/>
                <w:szCs w:val="20"/>
              </w:rPr>
              <w:t>80%</w:t>
            </w:r>
          </w:p>
        </w:tc>
        <w:tc>
          <w:tcPr>
            <w:tcW w:w="691"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79%</w:t>
            </w:r>
          </w:p>
        </w:tc>
        <w:tc>
          <w:tcPr>
            <w:tcW w:w="691"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83%</w:t>
            </w:r>
          </w:p>
        </w:tc>
        <w:tc>
          <w:tcPr>
            <w:tcW w:w="691"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69%</w:t>
            </w:r>
          </w:p>
        </w:tc>
        <w:tc>
          <w:tcPr>
            <w:tcW w:w="691"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71%</w:t>
            </w:r>
          </w:p>
        </w:tc>
        <w:tc>
          <w:tcPr>
            <w:tcW w:w="667" w:type="dxa"/>
            <w:tcBorders>
              <w:top w:val="single" w:sz="8" w:space="0" w:color="auto"/>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68%</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DOC</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70</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67</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96%</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90%</w:t>
            </w:r>
          </w:p>
        </w:tc>
        <w:tc>
          <w:tcPr>
            <w:tcW w:w="691" w:type="dxa"/>
            <w:tcBorders>
              <w:top w:val="nil"/>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83%</w:t>
            </w:r>
          </w:p>
        </w:tc>
        <w:tc>
          <w:tcPr>
            <w:tcW w:w="691" w:type="dxa"/>
            <w:tcBorders>
              <w:top w:val="nil"/>
              <w:left w:val="nil"/>
              <w:bottom w:val="single" w:sz="8" w:space="0" w:color="auto"/>
              <w:right w:val="nil"/>
            </w:tcBorders>
            <w:shd w:val="clear" w:color="auto" w:fill="FFFF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78%</w:t>
            </w:r>
          </w:p>
        </w:tc>
        <w:tc>
          <w:tcPr>
            <w:tcW w:w="691"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77%</w:t>
            </w:r>
          </w:p>
        </w:tc>
        <w:tc>
          <w:tcPr>
            <w:tcW w:w="691"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83%</w:t>
            </w:r>
          </w:p>
        </w:tc>
        <w:tc>
          <w:tcPr>
            <w:tcW w:w="667" w:type="dxa"/>
            <w:tcBorders>
              <w:top w:val="single" w:sz="8" w:space="0" w:color="auto"/>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78%</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DOD</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24</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691" w:type="dxa"/>
            <w:tcBorders>
              <w:top w:val="nil"/>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33%</w:t>
            </w:r>
          </w:p>
        </w:tc>
        <w:tc>
          <w:tcPr>
            <w:tcW w:w="691" w:type="dxa"/>
            <w:tcBorders>
              <w:top w:val="nil"/>
              <w:left w:val="nil"/>
              <w:bottom w:val="single" w:sz="8" w:space="0" w:color="auto"/>
              <w:right w:val="nil"/>
            </w:tcBorders>
            <w:shd w:val="clear" w:color="auto" w:fill="C00000"/>
          </w:tcPr>
          <w:p w:rsidR="009F1536" w:rsidRPr="00F10819" w:rsidRDefault="009F1536" w:rsidP="002C72C1">
            <w:pPr>
              <w:spacing w:after="0" w:line="240" w:lineRule="auto"/>
              <w:jc w:val="center"/>
              <w:rPr>
                <w:sz w:val="20"/>
                <w:szCs w:val="20"/>
              </w:rPr>
            </w:pPr>
            <w:r w:rsidRPr="00F10819">
              <w:rPr>
                <w:sz w:val="20"/>
                <w:szCs w:val="20"/>
              </w:rPr>
              <w:t>8%</w:t>
            </w:r>
          </w:p>
        </w:tc>
        <w:tc>
          <w:tcPr>
            <w:tcW w:w="691" w:type="dxa"/>
            <w:tcBorders>
              <w:top w:val="nil"/>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37%</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41%</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8%</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Ed.</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37</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37</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84%</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58%</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55%</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31%</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Energy</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6</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6</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FFFF00"/>
          </w:tcPr>
          <w:p w:rsidR="009F1536" w:rsidRPr="00F10819" w:rsidRDefault="009F1536" w:rsidP="002C72C1">
            <w:pPr>
              <w:spacing w:after="0" w:line="240" w:lineRule="auto"/>
              <w:jc w:val="center"/>
              <w:rPr>
                <w:sz w:val="20"/>
                <w:szCs w:val="20"/>
              </w:rPr>
            </w:pPr>
            <w:r w:rsidRPr="00F10819">
              <w:rPr>
                <w:sz w:val="20"/>
                <w:szCs w:val="20"/>
              </w:rPr>
              <w:t>77%</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90%</w:t>
            </w:r>
          </w:p>
        </w:tc>
        <w:tc>
          <w:tcPr>
            <w:tcW w:w="691"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50%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HHS</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110</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107</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97%</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99%</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91%</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85%</w:t>
            </w:r>
          </w:p>
        </w:tc>
        <w:tc>
          <w:tcPr>
            <w:tcW w:w="691"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70%</w:t>
            </w:r>
          </w:p>
        </w:tc>
        <w:tc>
          <w:tcPr>
            <w:tcW w:w="691"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71%</w:t>
            </w:r>
          </w:p>
        </w:tc>
        <w:tc>
          <w:tcPr>
            <w:tcW w:w="667" w:type="dxa"/>
            <w:tcBorders>
              <w:top w:val="single" w:sz="8" w:space="0" w:color="auto"/>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80%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DHS</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20</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19</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95%</w:t>
            </w:r>
          </w:p>
        </w:tc>
        <w:tc>
          <w:tcPr>
            <w:tcW w:w="691" w:type="dxa"/>
            <w:tcBorders>
              <w:top w:val="nil"/>
              <w:left w:val="nil"/>
              <w:bottom w:val="single" w:sz="8" w:space="0" w:color="auto"/>
              <w:right w:val="nil"/>
            </w:tcBorders>
            <w:shd w:val="clear" w:color="auto" w:fill="92D050"/>
          </w:tcPr>
          <w:p w:rsidR="009F1536" w:rsidRPr="00F10819" w:rsidRDefault="009F1536" w:rsidP="002C72C1">
            <w:pPr>
              <w:spacing w:after="0" w:line="240" w:lineRule="auto"/>
              <w:jc w:val="center"/>
              <w:rPr>
                <w:sz w:val="20"/>
                <w:szCs w:val="20"/>
              </w:rPr>
            </w:pPr>
            <w:r w:rsidRPr="00F10819">
              <w:rPr>
                <w:sz w:val="20"/>
                <w:szCs w:val="20"/>
              </w:rPr>
              <w:t>88%</w:t>
            </w:r>
          </w:p>
        </w:tc>
        <w:tc>
          <w:tcPr>
            <w:tcW w:w="691" w:type="dxa"/>
            <w:tcBorders>
              <w:top w:val="nil"/>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83%</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80%</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48%</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40%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45%</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HUD</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13</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12</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92%</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91%</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89%</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0%</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30%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DOI</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10</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94%</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94%</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83%</w:t>
            </w:r>
          </w:p>
        </w:tc>
        <w:tc>
          <w:tcPr>
            <w:tcW w:w="691"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75%</w:t>
            </w:r>
          </w:p>
        </w:tc>
        <w:tc>
          <w:tcPr>
            <w:tcW w:w="691"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78%</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DOJ</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16</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14</w:t>
            </w:r>
          </w:p>
        </w:tc>
        <w:tc>
          <w:tcPr>
            <w:tcW w:w="691" w:type="dxa"/>
            <w:tcBorders>
              <w:top w:val="nil"/>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88%</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91" w:type="dxa"/>
            <w:tcBorders>
              <w:top w:val="nil"/>
              <w:left w:val="nil"/>
              <w:bottom w:val="single" w:sz="8" w:space="0" w:color="auto"/>
              <w:right w:val="nil"/>
            </w:tcBorders>
            <w:shd w:val="clear" w:color="auto" w:fill="92D05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80%</w:t>
            </w:r>
          </w:p>
        </w:tc>
        <w:tc>
          <w:tcPr>
            <w:tcW w:w="691"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DOL</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31</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97%</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92%</w:t>
            </w:r>
          </w:p>
        </w:tc>
        <w:tc>
          <w:tcPr>
            <w:tcW w:w="691" w:type="dxa"/>
            <w:tcBorders>
              <w:top w:val="nil"/>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67%</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45%</w:t>
            </w:r>
          </w:p>
        </w:tc>
        <w:tc>
          <w:tcPr>
            <w:tcW w:w="691"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75%</w:t>
            </w:r>
          </w:p>
        </w:tc>
        <w:tc>
          <w:tcPr>
            <w:tcW w:w="667" w:type="dxa"/>
            <w:tcBorders>
              <w:top w:val="single" w:sz="8" w:space="0" w:color="auto"/>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60%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State</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13</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13</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94%</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27%</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33%</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29%</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DOT</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19</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11</w:t>
            </w:r>
          </w:p>
        </w:tc>
        <w:tc>
          <w:tcPr>
            <w:tcW w:w="691" w:type="dxa"/>
            <w:tcBorders>
              <w:top w:val="nil"/>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58%</w:t>
            </w:r>
          </w:p>
        </w:tc>
        <w:tc>
          <w:tcPr>
            <w:tcW w:w="691" w:type="dxa"/>
            <w:tcBorders>
              <w:top w:val="nil"/>
              <w:left w:val="nil"/>
              <w:bottom w:val="single" w:sz="8" w:space="0" w:color="auto"/>
              <w:right w:val="nil"/>
            </w:tcBorders>
            <w:shd w:val="clear" w:color="auto" w:fill="C00000"/>
          </w:tcPr>
          <w:p w:rsidR="009F1536" w:rsidRPr="00F10819" w:rsidRDefault="009F1536" w:rsidP="002C72C1">
            <w:pPr>
              <w:spacing w:after="0" w:line="240" w:lineRule="auto"/>
              <w:jc w:val="center"/>
              <w:rPr>
                <w:sz w:val="20"/>
                <w:szCs w:val="20"/>
              </w:rPr>
            </w:pPr>
            <w:r w:rsidRPr="00F10819">
              <w:rPr>
                <w:sz w:val="20"/>
                <w:szCs w:val="20"/>
              </w:rPr>
              <w:t>53%</w:t>
            </w:r>
          </w:p>
        </w:tc>
        <w:tc>
          <w:tcPr>
            <w:tcW w:w="691" w:type="dxa"/>
            <w:tcBorders>
              <w:top w:val="nil"/>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50%</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35%</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15%</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Treas.</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55</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41</w:t>
            </w:r>
          </w:p>
        </w:tc>
        <w:tc>
          <w:tcPr>
            <w:tcW w:w="691" w:type="dxa"/>
            <w:tcBorders>
              <w:top w:val="nil"/>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75%</w:t>
            </w:r>
          </w:p>
        </w:tc>
        <w:tc>
          <w:tcPr>
            <w:tcW w:w="691" w:type="dxa"/>
            <w:tcBorders>
              <w:top w:val="nil"/>
              <w:left w:val="nil"/>
              <w:bottom w:val="single" w:sz="8" w:space="0" w:color="auto"/>
              <w:right w:val="nil"/>
            </w:tcBorders>
            <w:shd w:val="clear" w:color="auto" w:fill="92D050"/>
          </w:tcPr>
          <w:p w:rsidR="009F1536" w:rsidRPr="00F10819" w:rsidRDefault="009F1536" w:rsidP="002C72C1">
            <w:pPr>
              <w:spacing w:after="0" w:line="240" w:lineRule="auto"/>
              <w:jc w:val="center"/>
              <w:rPr>
                <w:sz w:val="20"/>
                <w:szCs w:val="20"/>
              </w:rPr>
            </w:pPr>
            <w:r w:rsidRPr="00F10819">
              <w:rPr>
                <w:sz w:val="20"/>
                <w:szCs w:val="20"/>
              </w:rPr>
              <w:t>82%</w:t>
            </w:r>
          </w:p>
        </w:tc>
        <w:tc>
          <w:tcPr>
            <w:tcW w:w="691" w:type="dxa"/>
            <w:tcBorders>
              <w:top w:val="nil"/>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60%</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55%</w:t>
            </w:r>
          </w:p>
        </w:tc>
        <w:tc>
          <w:tcPr>
            <w:tcW w:w="691"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74%</w:t>
            </w:r>
          </w:p>
        </w:tc>
        <w:tc>
          <w:tcPr>
            <w:tcW w:w="691"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70%</w:t>
            </w:r>
          </w:p>
        </w:tc>
        <w:tc>
          <w:tcPr>
            <w:tcW w:w="667" w:type="dxa"/>
            <w:tcBorders>
              <w:top w:val="single" w:sz="8" w:space="0" w:color="auto"/>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63%</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VA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77</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76</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99%</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99%</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99%</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99%</w:t>
            </w:r>
          </w:p>
        </w:tc>
        <w:tc>
          <w:tcPr>
            <w:tcW w:w="691"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99%</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EPA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18</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14</w:t>
            </w:r>
          </w:p>
        </w:tc>
        <w:tc>
          <w:tcPr>
            <w:tcW w:w="691" w:type="dxa"/>
            <w:tcBorders>
              <w:top w:val="nil"/>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78%</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92%</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91"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92%</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GSA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32</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32</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NASA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6</w:t>
            </w:r>
          </w:p>
        </w:tc>
        <w:tc>
          <w:tcPr>
            <w:tcW w:w="691" w:type="dxa"/>
            <w:tcBorders>
              <w:top w:val="nil"/>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75%</w:t>
            </w:r>
          </w:p>
        </w:tc>
        <w:tc>
          <w:tcPr>
            <w:tcW w:w="691" w:type="dxa"/>
            <w:tcBorders>
              <w:top w:val="nil"/>
              <w:left w:val="nil"/>
              <w:bottom w:val="single" w:sz="8" w:space="0" w:color="auto"/>
              <w:right w:val="nil"/>
            </w:tcBorders>
            <w:shd w:val="clear" w:color="auto" w:fill="C00000"/>
          </w:tcPr>
          <w:p w:rsidR="009F1536" w:rsidRPr="00F10819" w:rsidRDefault="009F1536" w:rsidP="002C72C1">
            <w:pPr>
              <w:spacing w:after="0" w:line="240" w:lineRule="auto"/>
              <w:jc w:val="center"/>
              <w:rPr>
                <w:sz w:val="20"/>
                <w:szCs w:val="20"/>
              </w:rPr>
            </w:pPr>
            <w:r w:rsidRPr="00F10819">
              <w:rPr>
                <w:sz w:val="20"/>
                <w:szCs w:val="20"/>
              </w:rPr>
              <w:t>0%</w:t>
            </w:r>
          </w:p>
        </w:tc>
        <w:tc>
          <w:tcPr>
            <w:tcW w:w="691" w:type="dxa"/>
            <w:tcBorders>
              <w:top w:val="nil"/>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0%</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0%</w:t>
            </w:r>
          </w:p>
        </w:tc>
        <w:tc>
          <w:tcPr>
            <w:tcW w:w="691" w:type="dxa"/>
            <w:tcBorders>
              <w:top w:val="single" w:sz="8" w:space="0" w:color="auto"/>
              <w:left w:val="nil"/>
              <w:bottom w:val="single" w:sz="8" w:space="0" w:color="auto"/>
              <w:right w:val="nil"/>
            </w:tcBorders>
            <w:shd w:val="clear" w:color="auto" w:fill="BFBFBF" w:themeFill="background1" w:themeFillShade="BF"/>
            <w:vAlign w:val="bottom"/>
          </w:tcPr>
          <w:p w:rsidR="009F1536" w:rsidRPr="00F10819" w:rsidRDefault="009F1536" w:rsidP="002C72C1">
            <w:pPr>
              <w:autoSpaceDE w:val="0"/>
              <w:autoSpaceDN w:val="0"/>
              <w:adjustRightInd w:val="0"/>
              <w:spacing w:after="0" w:line="240" w:lineRule="auto"/>
              <w:jc w:val="center"/>
              <w:rPr>
                <w:rFonts w:cs="Calibri"/>
                <w:sz w:val="20"/>
                <w:szCs w:val="20"/>
              </w:rPr>
            </w:pPr>
          </w:p>
        </w:tc>
        <w:tc>
          <w:tcPr>
            <w:tcW w:w="691" w:type="dxa"/>
            <w:tcBorders>
              <w:top w:val="single" w:sz="8" w:space="0" w:color="auto"/>
              <w:left w:val="nil"/>
              <w:bottom w:val="single" w:sz="8" w:space="0" w:color="auto"/>
              <w:right w:val="nil"/>
            </w:tcBorders>
            <w:shd w:val="clear" w:color="auto" w:fill="BFBFBF" w:themeFill="background1" w:themeFillShade="BF"/>
            <w:noWrap/>
            <w:vAlign w:val="bottom"/>
            <w:hideMark/>
          </w:tcPr>
          <w:p w:rsidR="009F1536" w:rsidRPr="00F10819" w:rsidRDefault="009F1536" w:rsidP="002C72C1">
            <w:pPr>
              <w:spacing w:after="0" w:line="240" w:lineRule="auto"/>
              <w:jc w:val="center"/>
              <w:rPr>
                <w:rFonts w:eastAsia="Times New Roman" w:cs="Times New Roman"/>
                <w:sz w:val="20"/>
                <w:szCs w:val="20"/>
              </w:rPr>
            </w:pPr>
          </w:p>
        </w:tc>
        <w:tc>
          <w:tcPr>
            <w:tcW w:w="667" w:type="dxa"/>
            <w:tcBorders>
              <w:top w:val="single" w:sz="8" w:space="0" w:color="auto"/>
              <w:left w:val="nil"/>
              <w:bottom w:val="single" w:sz="8" w:space="0" w:color="auto"/>
              <w:right w:val="nil"/>
            </w:tcBorders>
            <w:shd w:val="clear" w:color="000000" w:fill="BFBFBF"/>
            <w:vAlign w:val="bottom"/>
            <w:hideMark/>
          </w:tcPr>
          <w:p w:rsidR="009F1536" w:rsidRPr="00F10819" w:rsidRDefault="009F1536" w:rsidP="002C72C1">
            <w:pPr>
              <w:spacing w:after="0" w:line="240" w:lineRule="auto"/>
              <w:jc w:val="center"/>
              <w:rPr>
                <w:rFonts w:eastAsia="Times New Roman" w:cs="Times New Roman"/>
                <w:sz w:val="20"/>
                <w:szCs w:val="20"/>
              </w:rPr>
            </w:pP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NSF</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BFBFBF" w:themeFill="background1" w:themeFillShade="BF"/>
            <w:vAlign w:val="bottom"/>
          </w:tcPr>
          <w:p w:rsidR="009F1536" w:rsidRPr="00F10819" w:rsidRDefault="009F1536" w:rsidP="002C72C1">
            <w:pPr>
              <w:autoSpaceDE w:val="0"/>
              <w:autoSpaceDN w:val="0"/>
              <w:adjustRightInd w:val="0"/>
              <w:spacing w:after="0" w:line="240" w:lineRule="auto"/>
              <w:jc w:val="center"/>
              <w:rPr>
                <w:rFonts w:cs="Calibri"/>
                <w:sz w:val="20"/>
                <w:szCs w:val="20"/>
              </w:rPr>
            </w:pPr>
          </w:p>
        </w:tc>
        <w:tc>
          <w:tcPr>
            <w:tcW w:w="691" w:type="dxa"/>
            <w:tcBorders>
              <w:top w:val="single" w:sz="8" w:space="0" w:color="auto"/>
              <w:left w:val="nil"/>
              <w:bottom w:val="single" w:sz="8" w:space="0" w:color="auto"/>
              <w:right w:val="nil"/>
            </w:tcBorders>
            <w:shd w:val="clear" w:color="auto" w:fill="BFBFBF" w:themeFill="background1" w:themeFillShade="BF"/>
            <w:noWrap/>
            <w:vAlign w:val="bottom"/>
            <w:hideMark/>
          </w:tcPr>
          <w:p w:rsidR="009F1536" w:rsidRPr="00F10819" w:rsidRDefault="009F1536" w:rsidP="002C72C1">
            <w:pPr>
              <w:spacing w:after="0" w:line="240" w:lineRule="auto"/>
              <w:jc w:val="center"/>
              <w:rPr>
                <w:rFonts w:eastAsia="Times New Roman" w:cs="Times New Roman"/>
                <w:sz w:val="20"/>
                <w:szCs w:val="20"/>
              </w:rPr>
            </w:pPr>
          </w:p>
        </w:tc>
        <w:tc>
          <w:tcPr>
            <w:tcW w:w="667" w:type="dxa"/>
            <w:tcBorders>
              <w:top w:val="single" w:sz="8" w:space="0" w:color="auto"/>
              <w:left w:val="nil"/>
              <w:bottom w:val="single" w:sz="8" w:space="0" w:color="auto"/>
              <w:right w:val="nil"/>
            </w:tcBorders>
            <w:shd w:val="clear" w:color="000000" w:fill="BFBFBF"/>
            <w:vAlign w:val="bottom"/>
            <w:hideMark/>
          </w:tcPr>
          <w:p w:rsidR="009F1536" w:rsidRPr="00F10819" w:rsidRDefault="009F1536" w:rsidP="002C72C1">
            <w:pPr>
              <w:spacing w:after="0" w:line="240" w:lineRule="auto"/>
              <w:jc w:val="center"/>
              <w:rPr>
                <w:rFonts w:eastAsia="Times New Roman" w:cs="Times New Roman"/>
                <w:sz w:val="20"/>
                <w:szCs w:val="20"/>
              </w:rPr>
            </w:pP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NRC</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8</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BFBFBF" w:themeFill="background1" w:themeFillShade="BF"/>
            <w:vAlign w:val="bottom"/>
          </w:tcPr>
          <w:p w:rsidR="009F1536" w:rsidRPr="00F10819" w:rsidRDefault="009F1536" w:rsidP="002C72C1">
            <w:pPr>
              <w:autoSpaceDE w:val="0"/>
              <w:autoSpaceDN w:val="0"/>
              <w:adjustRightInd w:val="0"/>
              <w:spacing w:after="0" w:line="240" w:lineRule="auto"/>
              <w:jc w:val="center"/>
              <w:rPr>
                <w:rFonts w:cs="Calibri"/>
                <w:sz w:val="20"/>
                <w:szCs w:val="20"/>
              </w:rPr>
            </w:pPr>
          </w:p>
        </w:tc>
        <w:tc>
          <w:tcPr>
            <w:tcW w:w="691" w:type="dxa"/>
            <w:tcBorders>
              <w:top w:val="single" w:sz="8" w:space="0" w:color="auto"/>
              <w:left w:val="nil"/>
              <w:bottom w:val="single" w:sz="8" w:space="0" w:color="auto"/>
              <w:right w:val="nil"/>
            </w:tcBorders>
            <w:shd w:val="clear" w:color="auto" w:fill="BFBFBF" w:themeFill="background1" w:themeFillShade="BF"/>
            <w:noWrap/>
            <w:vAlign w:val="bottom"/>
            <w:hideMark/>
          </w:tcPr>
          <w:p w:rsidR="009F1536" w:rsidRPr="00F10819" w:rsidRDefault="009F1536" w:rsidP="002C72C1">
            <w:pPr>
              <w:spacing w:after="0" w:line="240" w:lineRule="auto"/>
              <w:jc w:val="center"/>
              <w:rPr>
                <w:rFonts w:eastAsia="Times New Roman" w:cs="Times New Roman"/>
                <w:sz w:val="20"/>
                <w:szCs w:val="20"/>
              </w:rPr>
            </w:pPr>
          </w:p>
        </w:tc>
        <w:tc>
          <w:tcPr>
            <w:tcW w:w="667" w:type="dxa"/>
            <w:tcBorders>
              <w:top w:val="single" w:sz="8" w:space="0" w:color="auto"/>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OPM</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18</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18</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83%</w:t>
            </w:r>
          </w:p>
        </w:tc>
        <w:tc>
          <w:tcPr>
            <w:tcW w:w="691"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83%</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50%</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SBA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4</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4</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C00000"/>
          </w:tcPr>
          <w:p w:rsidR="009F1536" w:rsidRPr="00F10819" w:rsidRDefault="009F1536" w:rsidP="002C72C1">
            <w:pPr>
              <w:spacing w:after="0" w:line="240" w:lineRule="auto"/>
              <w:jc w:val="center"/>
              <w:rPr>
                <w:sz w:val="20"/>
                <w:szCs w:val="20"/>
              </w:rPr>
            </w:pPr>
            <w:r w:rsidRPr="00F10819">
              <w:rPr>
                <w:sz w:val="20"/>
                <w:szCs w:val="20"/>
              </w:rPr>
              <w:t>50%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43%</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50%</w:t>
            </w:r>
          </w:p>
        </w:tc>
        <w:tc>
          <w:tcPr>
            <w:tcW w:w="691"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100%</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25%</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SSA</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15</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14</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93%</w:t>
            </w:r>
          </w:p>
        </w:tc>
        <w:tc>
          <w:tcPr>
            <w:tcW w:w="691" w:type="dxa"/>
            <w:tcBorders>
              <w:top w:val="nil"/>
              <w:left w:val="nil"/>
              <w:bottom w:val="single" w:sz="8" w:space="0" w:color="auto"/>
              <w:right w:val="nil"/>
            </w:tcBorders>
            <w:shd w:val="clear" w:color="auto" w:fill="92D050"/>
          </w:tcPr>
          <w:p w:rsidR="009F1536" w:rsidRPr="00F10819" w:rsidRDefault="009F1536" w:rsidP="002C72C1">
            <w:pPr>
              <w:spacing w:after="0" w:line="240" w:lineRule="auto"/>
              <w:jc w:val="center"/>
              <w:rPr>
                <w:sz w:val="20"/>
                <w:szCs w:val="20"/>
              </w:rPr>
            </w:pPr>
            <w:r w:rsidRPr="00F10819">
              <w:rPr>
                <w:sz w:val="20"/>
                <w:szCs w:val="20"/>
              </w:rPr>
              <w:t>87%</w:t>
            </w:r>
          </w:p>
        </w:tc>
        <w:tc>
          <w:tcPr>
            <w:tcW w:w="691" w:type="dxa"/>
            <w:tcBorders>
              <w:top w:val="nil"/>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69%</w:t>
            </w:r>
          </w:p>
        </w:tc>
        <w:tc>
          <w:tcPr>
            <w:tcW w:w="691" w:type="dxa"/>
            <w:tcBorders>
              <w:top w:val="nil"/>
              <w:left w:val="nil"/>
              <w:bottom w:val="single" w:sz="8" w:space="0" w:color="auto"/>
              <w:right w:val="nil"/>
            </w:tcBorders>
            <w:shd w:val="clear" w:color="auto" w:fill="C0000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23%</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42%</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41%</w:t>
            </w:r>
          </w:p>
        </w:tc>
        <w:tc>
          <w:tcPr>
            <w:tcW w:w="667"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35%</w:t>
            </w:r>
          </w:p>
        </w:tc>
      </w:tr>
      <w:tr w:rsidR="009F1536" w:rsidRPr="00F10819" w:rsidTr="009F1536">
        <w:trPr>
          <w:trHeight w:val="173"/>
        </w:trPr>
        <w:tc>
          <w:tcPr>
            <w:tcW w:w="864" w:type="dxa"/>
            <w:tcBorders>
              <w:top w:val="nil"/>
              <w:left w:val="nil"/>
              <w:bottom w:val="single" w:sz="8" w:space="0" w:color="auto"/>
              <w:right w:val="nil"/>
            </w:tcBorders>
            <w:shd w:val="clear" w:color="auto" w:fill="auto"/>
            <w:noWrap/>
            <w:vAlign w:val="bottom"/>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USAID</w:t>
            </w:r>
          </w:p>
        </w:tc>
        <w:tc>
          <w:tcPr>
            <w:tcW w:w="99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2</w:t>
            </w:r>
          </w:p>
        </w:tc>
        <w:tc>
          <w:tcPr>
            <w:tcW w:w="17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center"/>
              <w:rPr>
                <w:rFonts w:cs="Calibri"/>
                <w:color w:val="000000"/>
                <w:sz w:val="20"/>
                <w:szCs w:val="20"/>
              </w:rPr>
            </w:pPr>
            <w:r w:rsidRPr="00F10819">
              <w:rPr>
                <w:rFonts w:cs="Calibri"/>
                <w:color w:val="000000"/>
                <w:sz w:val="20"/>
                <w:szCs w:val="20"/>
              </w:rPr>
              <w:t>2</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spacing w:after="0" w:line="240" w:lineRule="auto"/>
              <w:jc w:val="center"/>
              <w:rPr>
                <w:sz w:val="20"/>
                <w:szCs w:val="20"/>
              </w:rPr>
            </w:pPr>
            <w:r w:rsidRPr="00F10819">
              <w:rPr>
                <w:sz w:val="20"/>
                <w:szCs w:val="20"/>
              </w:rPr>
              <w:t>100%</w:t>
            </w:r>
          </w:p>
        </w:tc>
        <w:tc>
          <w:tcPr>
            <w:tcW w:w="691" w:type="dxa"/>
            <w:tcBorders>
              <w:top w:val="nil"/>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nil"/>
              <w:left w:val="nil"/>
              <w:bottom w:val="single" w:sz="8" w:space="0" w:color="auto"/>
              <w:right w:val="nil"/>
            </w:tcBorders>
            <w:shd w:val="clear" w:color="auto" w:fill="0070C0"/>
            <w:noWrap/>
            <w:vAlign w:val="bottom"/>
            <w:hideMark/>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91"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0%</w:t>
            </w:r>
          </w:p>
        </w:tc>
        <w:tc>
          <w:tcPr>
            <w:tcW w:w="691"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center"/>
              <w:rPr>
                <w:rFonts w:eastAsia="Times New Roman" w:cs="Times New Roman"/>
                <w:sz w:val="20"/>
                <w:szCs w:val="20"/>
              </w:rPr>
            </w:pPr>
            <w:r w:rsidRPr="00F10819">
              <w:rPr>
                <w:rFonts w:eastAsia="Times New Roman" w:cs="Times New Roman"/>
                <w:sz w:val="20"/>
                <w:szCs w:val="20"/>
              </w:rPr>
              <w:t>0%</w:t>
            </w:r>
          </w:p>
        </w:tc>
        <w:tc>
          <w:tcPr>
            <w:tcW w:w="667" w:type="dxa"/>
            <w:tcBorders>
              <w:top w:val="single" w:sz="8" w:space="0" w:color="auto"/>
              <w:left w:val="nil"/>
              <w:bottom w:val="single" w:sz="8" w:space="0" w:color="auto"/>
              <w:right w:val="nil"/>
            </w:tcBorders>
            <w:shd w:val="clear" w:color="000000" w:fill="BFBFBF"/>
            <w:vAlign w:val="bottom"/>
            <w:hideMark/>
          </w:tcPr>
          <w:p w:rsidR="009F1536" w:rsidRPr="00F10819" w:rsidRDefault="009F1536" w:rsidP="002C72C1">
            <w:pPr>
              <w:spacing w:after="0" w:line="240" w:lineRule="auto"/>
              <w:jc w:val="center"/>
              <w:rPr>
                <w:rFonts w:eastAsia="Times New Roman" w:cs="Times New Roman"/>
                <w:sz w:val="20"/>
                <w:szCs w:val="20"/>
              </w:rPr>
            </w:pPr>
          </w:p>
        </w:tc>
      </w:tr>
    </w:tbl>
    <w:p w:rsidR="005C4065" w:rsidRPr="008B2287" w:rsidRDefault="005C4065" w:rsidP="002C72C1">
      <w:pPr>
        <w:pStyle w:val="BodyText"/>
        <w:spacing w:line="240" w:lineRule="auto"/>
      </w:pPr>
      <w:r w:rsidRPr="008B2287">
        <w:rPr>
          <w:rStyle w:val="Heading3Char"/>
          <w:rFonts w:asciiTheme="minorHAnsi" w:hAnsiTheme="minorHAnsi"/>
        </w:rPr>
        <w:t>Calculation:</w:t>
      </w:r>
      <w:r w:rsidRPr="008B2287">
        <w:t xml:space="preserve"> </w:t>
      </w:r>
      <w:r w:rsidR="00F94147">
        <w:t>T</w:t>
      </w:r>
      <w:r w:rsidR="00390882">
        <w:t xml:space="preserve">he </w:t>
      </w:r>
      <w:r w:rsidR="00934B58">
        <w:t>portion</w:t>
      </w:r>
      <w:r w:rsidRPr="008B2287">
        <w:t xml:space="preserve"> of an agency’s </w:t>
      </w:r>
      <w:r w:rsidR="00390882">
        <w:t xml:space="preserve">software </w:t>
      </w:r>
      <w:r w:rsidRPr="008B2287">
        <w:t xml:space="preserve">projects which </w:t>
      </w:r>
      <w:r w:rsidR="002F3FF0">
        <w:t xml:space="preserve">planned to deliver </w:t>
      </w:r>
      <w:r w:rsidRPr="008B2287">
        <w:t>functionality</w:t>
      </w:r>
      <w:r w:rsidR="002F3FF0">
        <w:t xml:space="preserve"> incrementally</w:t>
      </w:r>
      <w:r w:rsidR="00F94147">
        <w:t xml:space="preserve"> (every 6 months)</w:t>
      </w:r>
      <w:r w:rsidRPr="008B2287">
        <w:t>.</w:t>
      </w:r>
      <w:r w:rsidR="008723EC" w:rsidRPr="008B2287">
        <w:t xml:space="preserve"> </w:t>
      </w:r>
    </w:p>
    <w:p w:rsidR="003F35E7" w:rsidRPr="008B2287" w:rsidRDefault="005827D3" w:rsidP="002C72C1">
      <w:pPr>
        <w:pStyle w:val="BodyText"/>
        <w:spacing w:line="240" w:lineRule="auto"/>
      </w:pPr>
      <w:r w:rsidRPr="008B2287">
        <w:rPr>
          <w:rStyle w:val="Heading3Char"/>
          <w:rFonts w:asciiTheme="minorHAnsi" w:hAnsiTheme="minorHAnsi"/>
        </w:rPr>
        <w:t>Data source</w:t>
      </w:r>
      <w:r w:rsidR="006878BA" w:rsidRPr="008B2287">
        <w:rPr>
          <w:rStyle w:val="Heading3Char"/>
          <w:rFonts w:asciiTheme="minorHAnsi" w:hAnsiTheme="minorHAnsi"/>
        </w:rPr>
        <w:t xml:space="preserve"> (monthly)</w:t>
      </w:r>
      <w:r w:rsidR="003F35E7" w:rsidRPr="008B2287">
        <w:rPr>
          <w:rStyle w:val="Heading3Char"/>
          <w:rFonts w:asciiTheme="minorHAnsi" w:hAnsiTheme="minorHAnsi"/>
        </w:rPr>
        <w:t>:</w:t>
      </w:r>
      <w:r w:rsidR="003F35E7" w:rsidRPr="008B2287">
        <w:t xml:space="preserve"> </w:t>
      </w:r>
      <w:r w:rsidR="00F61574" w:rsidRPr="008B2287">
        <w:t>Data feeds on OMB’s IT Dashboard</w:t>
      </w:r>
      <w:r w:rsidR="006878BA" w:rsidRPr="008B2287">
        <w:t xml:space="preserve"> as of </w:t>
      </w:r>
      <w:r w:rsidR="009F1536" w:rsidRPr="009F1536">
        <w:t>Dec</w:t>
      </w:r>
      <w:r w:rsidR="00934B58" w:rsidRPr="009F1536">
        <w:t>.</w:t>
      </w:r>
      <w:r w:rsidR="00F94147">
        <w:t xml:space="preserve"> 2018</w:t>
      </w:r>
      <w:r w:rsidR="00F61574" w:rsidRPr="008B2287">
        <w:t>.</w:t>
      </w:r>
    </w:p>
    <w:p w:rsidR="00CB6953" w:rsidRPr="008B2287" w:rsidRDefault="00CB6953" w:rsidP="002C72C1">
      <w:pPr>
        <w:pStyle w:val="BodyText"/>
        <w:spacing w:line="240" w:lineRule="auto"/>
      </w:pPr>
      <w:r w:rsidRPr="008B2287">
        <w:rPr>
          <w:rStyle w:val="Heading3Char"/>
          <w:rFonts w:asciiTheme="minorHAnsi" w:hAnsiTheme="minorHAnsi"/>
        </w:rPr>
        <w:t>Highest-rated agencies:</w:t>
      </w:r>
      <w:r w:rsidRPr="008B2287">
        <w:t xml:space="preserve"> </w:t>
      </w:r>
      <w:r w:rsidR="009F1536">
        <w:t>Seventeen</w:t>
      </w:r>
      <w:r w:rsidRPr="00325920">
        <w:t xml:space="preserve"> agencies</w:t>
      </w:r>
      <w:r w:rsidR="00B650EA">
        <w:t xml:space="preserve"> </w:t>
      </w:r>
      <w:r w:rsidR="00B41D40">
        <w:t xml:space="preserve">received </w:t>
      </w:r>
      <w:r w:rsidR="00897CDD">
        <w:t xml:space="preserve">an </w:t>
      </w:r>
      <w:r w:rsidRPr="00325920">
        <w:t xml:space="preserve">A for this portion of the scorecard. </w:t>
      </w:r>
      <w:r w:rsidR="009F1536">
        <w:t>Ten</w:t>
      </w:r>
      <w:r w:rsidR="00390882">
        <w:t xml:space="preserve"> </w:t>
      </w:r>
      <w:r w:rsidRPr="008B2287">
        <w:t xml:space="preserve">of these agencies reported that all of their projects </w:t>
      </w:r>
      <w:r w:rsidR="002F3FF0">
        <w:t>planned to deliver functionality</w:t>
      </w:r>
      <w:r w:rsidRPr="008B2287">
        <w:t xml:space="preserve"> incrementally.</w:t>
      </w:r>
    </w:p>
    <w:p w:rsidR="00CB6953" w:rsidRPr="008B2287" w:rsidRDefault="00CB6953" w:rsidP="002C72C1">
      <w:pPr>
        <w:pStyle w:val="BodyText"/>
        <w:spacing w:line="240" w:lineRule="auto"/>
      </w:pPr>
      <w:r w:rsidRPr="008B2287">
        <w:rPr>
          <w:rStyle w:val="Heading3Char"/>
          <w:rFonts w:asciiTheme="minorHAnsi" w:hAnsiTheme="minorHAnsi"/>
        </w:rPr>
        <w:t>Lowest-rated agencie</w:t>
      </w:r>
      <w:r w:rsidRPr="00325920">
        <w:rPr>
          <w:rStyle w:val="Heading3Char"/>
          <w:rFonts w:asciiTheme="minorHAnsi" w:hAnsiTheme="minorHAnsi"/>
        </w:rPr>
        <w:t>s:</w:t>
      </w:r>
      <w:r w:rsidRPr="00325920">
        <w:t xml:space="preserve"> </w:t>
      </w:r>
      <w:r w:rsidR="009F1536">
        <w:t>Two</w:t>
      </w:r>
      <w:r w:rsidRPr="00325920">
        <w:t xml:space="preserve"> agencies</w:t>
      </w:r>
      <w:r w:rsidR="008723EC" w:rsidRPr="00325920">
        <w:t xml:space="preserve"> </w:t>
      </w:r>
      <w:r w:rsidRPr="00325920">
        <w:t>received failing grades</w:t>
      </w:r>
      <w:r w:rsidR="005C6D40">
        <w:t>.</w:t>
      </w:r>
    </w:p>
    <w:p w:rsidR="00C62A4A" w:rsidRPr="008B2287" w:rsidRDefault="005827D3" w:rsidP="002C72C1">
      <w:pPr>
        <w:pStyle w:val="BodyText"/>
        <w:spacing w:line="240" w:lineRule="auto"/>
      </w:pPr>
      <w:r w:rsidRPr="008B2287">
        <w:rPr>
          <w:rStyle w:val="Heading3Char"/>
          <w:rFonts w:asciiTheme="minorHAnsi" w:hAnsiTheme="minorHAnsi"/>
        </w:rPr>
        <w:t>GAO reports</w:t>
      </w:r>
      <w:r w:rsidR="005C4065" w:rsidRPr="008B2287">
        <w:rPr>
          <w:rStyle w:val="Heading3Char"/>
          <w:rFonts w:asciiTheme="minorHAnsi" w:hAnsiTheme="minorHAnsi"/>
        </w:rPr>
        <w:t>:</w:t>
      </w:r>
      <w:r w:rsidR="005C4065" w:rsidRPr="008B2287">
        <w:t xml:space="preserve"> </w:t>
      </w:r>
      <w:r w:rsidR="00CD1BE8" w:rsidRPr="006C3EA7">
        <w:t xml:space="preserve">In </w:t>
      </w:r>
      <w:r w:rsidR="008B720E" w:rsidRPr="006C3EA7">
        <w:t>a</w:t>
      </w:r>
      <w:r w:rsidR="00CD1BE8" w:rsidRPr="006C3EA7">
        <w:t xml:space="preserve"> </w:t>
      </w:r>
      <w:r w:rsidR="00162E1B">
        <w:t>November 2017</w:t>
      </w:r>
      <w:r w:rsidR="00CD1BE8" w:rsidRPr="006C3EA7">
        <w:t xml:space="preserve"> report</w:t>
      </w:r>
      <w:r w:rsidR="008C343C">
        <w:t xml:space="preserve"> (</w:t>
      </w:r>
      <w:hyperlink r:id="rId9" w:history="1">
        <w:r w:rsidR="00162E1B">
          <w:rPr>
            <w:rStyle w:val="Hyperlink"/>
          </w:rPr>
          <w:t>GAO-18-148</w:t>
        </w:r>
      </w:hyperlink>
      <w:r w:rsidR="008C343C">
        <w:t>)</w:t>
      </w:r>
      <w:r w:rsidR="00CD1BE8" w:rsidRPr="006C3EA7">
        <w:t xml:space="preserve">, </w:t>
      </w:r>
      <w:r w:rsidR="005C4065" w:rsidRPr="006C3EA7">
        <w:t xml:space="preserve">GAO </w:t>
      </w:r>
      <w:r w:rsidR="00CD1BE8" w:rsidRPr="006C3EA7">
        <w:t>report</w:t>
      </w:r>
      <w:r w:rsidR="008C343C">
        <w:t>ed</w:t>
      </w:r>
      <w:r w:rsidR="00CD1BE8" w:rsidRPr="006C3EA7">
        <w:t xml:space="preserve"> that </w:t>
      </w:r>
      <w:r w:rsidR="002B74A4">
        <w:t xml:space="preserve">agency CIOs certified only </w:t>
      </w:r>
      <w:r w:rsidR="00591D52">
        <w:t xml:space="preserve">62 percent </w:t>
      </w:r>
      <w:r w:rsidR="00591D52" w:rsidRPr="00B36B8E">
        <w:t xml:space="preserve">of major IT software development </w:t>
      </w:r>
      <w:r w:rsidR="005C4065" w:rsidRPr="00B36B8E">
        <w:t xml:space="preserve">investments </w:t>
      </w:r>
      <w:r w:rsidR="002B74A4" w:rsidRPr="00B36B8E">
        <w:t>as</w:t>
      </w:r>
      <w:r w:rsidR="00591D52" w:rsidRPr="00B36B8E">
        <w:t xml:space="preserve"> implementing adequate incremental development in fiscal year 2017, as required by FITARA</w:t>
      </w:r>
      <w:r w:rsidR="005C4065" w:rsidRPr="00B36B8E">
        <w:t xml:space="preserve">. GAO </w:t>
      </w:r>
      <w:r w:rsidR="00591D52" w:rsidRPr="00B36B8E">
        <w:t>made 19 recommendations to 17 agencies and OMB, to improve reporting accuracy or policies</w:t>
      </w:r>
      <w:r w:rsidR="00813634" w:rsidRPr="00B36B8E">
        <w:t>.</w:t>
      </w:r>
      <w:r w:rsidR="002B74A4" w:rsidRPr="00B36B8E">
        <w:t xml:space="preserve"> M</w:t>
      </w:r>
      <w:r w:rsidR="002B74A4">
        <w:t>ost agencies generally agreed with the recommendations or had no comments; however, OMB disagreed with several of GAO’s conclusions, which GAO continued to believe were valid.</w:t>
      </w:r>
      <w:r w:rsidR="00C62A4A" w:rsidRPr="008B2287">
        <w:br w:type="page"/>
      </w:r>
    </w:p>
    <w:p w:rsidR="00C52D53" w:rsidRPr="008B2287" w:rsidRDefault="0042136A" w:rsidP="002C72C1">
      <w:pPr>
        <w:pStyle w:val="Heading2"/>
        <w:pBdr>
          <w:bottom w:val="single" w:sz="4" w:space="1" w:color="auto"/>
        </w:pBdr>
        <w:spacing w:line="240" w:lineRule="auto"/>
        <w:rPr>
          <w:rFonts w:asciiTheme="minorHAnsi" w:hAnsiTheme="minorHAnsi"/>
        </w:rPr>
      </w:pPr>
      <w:r w:rsidRPr="008B2287">
        <w:rPr>
          <w:rFonts w:asciiTheme="minorHAnsi" w:hAnsiTheme="minorHAnsi"/>
        </w:rPr>
        <w:lastRenderedPageBreak/>
        <w:t xml:space="preserve">Enhanced </w:t>
      </w:r>
      <w:r w:rsidR="00C52D53" w:rsidRPr="008B2287">
        <w:rPr>
          <w:rFonts w:asciiTheme="minorHAnsi" w:hAnsiTheme="minorHAnsi"/>
        </w:rPr>
        <w:t>Transparency and Improved Risk Management</w:t>
      </w:r>
      <w:r w:rsidR="00413378" w:rsidRPr="008B2287">
        <w:rPr>
          <w:rFonts w:asciiTheme="minorHAnsi" w:hAnsiTheme="minorHAnsi"/>
        </w:rPr>
        <w:t xml:space="preserve"> (OMB’s IT Dashboard</w:t>
      </w:r>
      <w:r w:rsidR="00C52D53" w:rsidRPr="008B2287">
        <w:rPr>
          <w:rFonts w:asciiTheme="minorHAnsi" w:hAnsiTheme="minorHAnsi"/>
        </w:rPr>
        <w:t>)</w:t>
      </w:r>
    </w:p>
    <w:p w:rsidR="00413378" w:rsidRPr="008B2287" w:rsidRDefault="00C62A4A" w:rsidP="002C72C1">
      <w:pPr>
        <w:pStyle w:val="BodyText"/>
        <w:spacing w:line="240" w:lineRule="auto"/>
      </w:pPr>
      <w:r w:rsidRPr="008B2287">
        <w:t xml:space="preserve">FITARA requires OMB to publicize detailed information on federal IT investments and </w:t>
      </w:r>
      <w:r w:rsidR="00F94147">
        <w:t xml:space="preserve">requires </w:t>
      </w:r>
      <w:r w:rsidRPr="008B2287">
        <w:t xml:space="preserve">agency CIOs to categorize their </w:t>
      </w:r>
      <w:r w:rsidR="000859C7" w:rsidRPr="008B2287">
        <w:t xml:space="preserve">major </w:t>
      </w:r>
      <w:r w:rsidRPr="008B2287">
        <w:t>IT investments by risk.</w:t>
      </w:r>
      <w:r w:rsidR="000859C7" w:rsidRPr="008B2287">
        <w:rPr>
          <w:rStyle w:val="FootnoteReference"/>
        </w:rPr>
        <w:t xml:space="preserve"> </w:t>
      </w:r>
      <w:r w:rsidR="000859C7" w:rsidRPr="008B2287">
        <w:rPr>
          <w:rStyle w:val="FootnoteReference"/>
        </w:rPr>
        <w:footnoteReference w:id="5"/>
      </w:r>
      <w:r w:rsidRPr="008B2287">
        <w:t xml:space="preserve"> Additionally, in the case of major IT investments that rate an IT investment as high risk for 4 consecutive quarters, the law requires that the agency CIO conduct review aimed at identifying and addressing the causes of the risk.</w:t>
      </w:r>
    </w:p>
    <w:tbl>
      <w:tblPr>
        <w:tblpPr w:leftFromText="180" w:rightFromText="180" w:vertAnchor="text" w:tblpXSpec="right" w:tblpY="2039"/>
        <w:tblOverlap w:val="never"/>
        <w:tblW w:w="6823" w:type="dxa"/>
        <w:tblLook w:val="04A0" w:firstRow="1" w:lastRow="0" w:firstColumn="1" w:lastColumn="0" w:noHBand="0" w:noVBand="1"/>
      </w:tblPr>
      <w:tblGrid>
        <w:gridCol w:w="819"/>
        <w:gridCol w:w="810"/>
        <w:gridCol w:w="672"/>
        <w:gridCol w:w="664"/>
        <w:gridCol w:w="664"/>
        <w:gridCol w:w="664"/>
        <w:gridCol w:w="664"/>
        <w:gridCol w:w="622"/>
        <w:gridCol w:w="622"/>
        <w:gridCol w:w="622"/>
      </w:tblGrid>
      <w:tr w:rsidR="00F10819" w:rsidRPr="00F10819" w:rsidTr="009F1536">
        <w:trPr>
          <w:trHeight w:val="173"/>
        </w:trPr>
        <w:tc>
          <w:tcPr>
            <w:tcW w:w="819" w:type="dxa"/>
            <w:tcBorders>
              <w:top w:val="nil"/>
              <w:left w:val="nil"/>
              <w:bottom w:val="single" w:sz="8" w:space="0" w:color="auto"/>
              <w:right w:val="nil"/>
            </w:tcBorders>
            <w:shd w:val="clear" w:color="auto" w:fill="auto"/>
            <w:noWrap/>
            <w:vAlign w:val="bottom"/>
            <w:hideMark/>
          </w:tcPr>
          <w:p w:rsidR="00E42A3E" w:rsidRPr="00F10819" w:rsidRDefault="00E42A3E" w:rsidP="002C72C1">
            <w:pPr>
              <w:spacing w:after="0" w:line="240" w:lineRule="auto"/>
              <w:rPr>
                <w:rFonts w:eastAsia="Times New Roman" w:cs="Times New Roman"/>
                <w:b/>
                <w:bCs/>
                <w:sz w:val="20"/>
                <w:szCs w:val="20"/>
              </w:rPr>
            </w:pPr>
            <w:r w:rsidRPr="00F10819">
              <w:rPr>
                <w:rFonts w:eastAsia="Times New Roman" w:cs="Times New Roman"/>
                <w:b/>
                <w:bCs/>
                <w:sz w:val="20"/>
                <w:szCs w:val="20"/>
              </w:rPr>
              <w:t>Agency</w:t>
            </w:r>
          </w:p>
        </w:tc>
        <w:tc>
          <w:tcPr>
            <w:tcW w:w="810" w:type="dxa"/>
            <w:tcBorders>
              <w:top w:val="nil"/>
              <w:left w:val="nil"/>
              <w:bottom w:val="single" w:sz="8" w:space="0" w:color="auto"/>
              <w:right w:val="nil"/>
            </w:tcBorders>
            <w:shd w:val="clear" w:color="auto" w:fill="auto"/>
            <w:noWrap/>
            <w:vAlign w:val="bottom"/>
            <w:hideMark/>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Majors ($)</w:t>
            </w:r>
          </w:p>
        </w:tc>
        <w:tc>
          <w:tcPr>
            <w:tcW w:w="672" w:type="dxa"/>
            <w:tcBorders>
              <w:top w:val="nil"/>
              <w:left w:val="nil"/>
              <w:bottom w:val="single" w:sz="8" w:space="0" w:color="auto"/>
              <w:right w:val="nil"/>
            </w:tcBorders>
            <w:shd w:val="clear" w:color="auto" w:fill="auto"/>
            <w:vAlign w:val="bottom"/>
            <w:hideMark/>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 at risk</w:t>
            </w:r>
          </w:p>
        </w:tc>
        <w:tc>
          <w:tcPr>
            <w:tcW w:w="664" w:type="dxa"/>
            <w:tcBorders>
              <w:top w:val="nil"/>
              <w:left w:val="nil"/>
              <w:bottom w:val="single" w:sz="8" w:space="0" w:color="auto"/>
              <w:right w:val="nil"/>
            </w:tcBorders>
            <w:vAlign w:val="bottom"/>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Dec. 2018</w:t>
            </w:r>
          </w:p>
        </w:tc>
        <w:tc>
          <w:tcPr>
            <w:tcW w:w="664" w:type="dxa"/>
            <w:tcBorders>
              <w:top w:val="nil"/>
              <w:left w:val="nil"/>
              <w:bottom w:val="single" w:sz="8" w:space="0" w:color="auto"/>
              <w:right w:val="nil"/>
            </w:tcBorders>
            <w:vAlign w:val="bottom"/>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May 2018</w:t>
            </w:r>
          </w:p>
        </w:tc>
        <w:tc>
          <w:tcPr>
            <w:tcW w:w="664" w:type="dxa"/>
            <w:tcBorders>
              <w:top w:val="nil"/>
              <w:left w:val="nil"/>
              <w:bottom w:val="single" w:sz="8" w:space="0" w:color="auto"/>
              <w:right w:val="nil"/>
            </w:tcBorders>
            <w:shd w:val="clear" w:color="auto" w:fill="auto"/>
            <w:vAlign w:val="bottom"/>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Nov. 2017</w:t>
            </w:r>
          </w:p>
        </w:tc>
        <w:tc>
          <w:tcPr>
            <w:tcW w:w="664" w:type="dxa"/>
            <w:tcBorders>
              <w:top w:val="nil"/>
              <w:left w:val="nil"/>
              <w:bottom w:val="single" w:sz="8" w:space="0" w:color="auto"/>
              <w:right w:val="nil"/>
            </w:tcBorders>
            <w:shd w:val="clear" w:color="auto" w:fill="auto"/>
            <w:vAlign w:val="bottom"/>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June 2017</w:t>
            </w:r>
          </w:p>
        </w:tc>
        <w:tc>
          <w:tcPr>
            <w:tcW w:w="622" w:type="dxa"/>
            <w:tcBorders>
              <w:top w:val="nil"/>
              <w:left w:val="nil"/>
              <w:bottom w:val="single" w:sz="8" w:space="0" w:color="auto"/>
              <w:right w:val="nil"/>
            </w:tcBorders>
            <w:shd w:val="clear" w:color="auto" w:fill="auto"/>
            <w:vAlign w:val="bottom"/>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Dec. 2016</w:t>
            </w:r>
          </w:p>
        </w:tc>
        <w:tc>
          <w:tcPr>
            <w:tcW w:w="622" w:type="dxa"/>
            <w:tcBorders>
              <w:top w:val="nil"/>
              <w:left w:val="nil"/>
              <w:bottom w:val="single" w:sz="8" w:space="0" w:color="auto"/>
              <w:right w:val="nil"/>
            </w:tcBorders>
            <w:shd w:val="clear" w:color="auto" w:fill="auto"/>
            <w:vAlign w:val="bottom"/>
            <w:hideMark/>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May 2016</w:t>
            </w:r>
          </w:p>
        </w:tc>
        <w:tc>
          <w:tcPr>
            <w:tcW w:w="622" w:type="dxa"/>
            <w:tcBorders>
              <w:top w:val="nil"/>
              <w:left w:val="nil"/>
              <w:bottom w:val="single" w:sz="8" w:space="0" w:color="auto"/>
              <w:right w:val="nil"/>
            </w:tcBorders>
            <w:shd w:val="clear" w:color="auto" w:fill="auto"/>
            <w:vAlign w:val="bottom"/>
            <w:hideMark/>
          </w:tcPr>
          <w:p w:rsidR="00E42A3E" w:rsidRPr="00F10819" w:rsidRDefault="00E42A3E" w:rsidP="002C72C1">
            <w:pPr>
              <w:spacing w:after="0" w:line="240" w:lineRule="auto"/>
              <w:jc w:val="center"/>
              <w:rPr>
                <w:rFonts w:eastAsia="Times New Roman" w:cs="Times New Roman"/>
                <w:b/>
                <w:bCs/>
                <w:sz w:val="20"/>
                <w:szCs w:val="20"/>
              </w:rPr>
            </w:pPr>
            <w:r w:rsidRPr="00F10819">
              <w:rPr>
                <w:rFonts w:eastAsia="Times New Roman" w:cs="Times New Roman"/>
                <w:b/>
                <w:bCs/>
                <w:sz w:val="20"/>
                <w:szCs w:val="20"/>
              </w:rPr>
              <w:t>Nov. 2015</w:t>
            </w:r>
          </w:p>
        </w:tc>
      </w:tr>
      <w:tr w:rsidR="00950802" w:rsidRPr="00F10819" w:rsidTr="00950802">
        <w:trPr>
          <w:trHeight w:val="173"/>
        </w:trPr>
        <w:tc>
          <w:tcPr>
            <w:tcW w:w="819" w:type="dxa"/>
            <w:tcBorders>
              <w:top w:val="single" w:sz="8" w:space="0" w:color="auto"/>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USDA</w:t>
            </w:r>
          </w:p>
        </w:tc>
        <w:tc>
          <w:tcPr>
            <w:tcW w:w="810"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600</w:t>
            </w:r>
          </w:p>
        </w:tc>
        <w:tc>
          <w:tcPr>
            <w:tcW w:w="672"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163</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27%</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spacing w:after="0" w:line="240" w:lineRule="auto"/>
              <w:jc w:val="right"/>
              <w:rPr>
                <w:sz w:val="20"/>
                <w:szCs w:val="20"/>
              </w:rPr>
            </w:pPr>
            <w:r w:rsidRPr="00F10819">
              <w:rPr>
                <w:sz w:val="20"/>
                <w:szCs w:val="20"/>
              </w:rPr>
              <w:t>6%</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w:t>
            </w:r>
          </w:p>
        </w:tc>
        <w:tc>
          <w:tcPr>
            <w:tcW w:w="664"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38%</w:t>
            </w:r>
          </w:p>
        </w:tc>
        <w:tc>
          <w:tcPr>
            <w:tcW w:w="622"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47%</w:t>
            </w:r>
          </w:p>
        </w:tc>
        <w:tc>
          <w:tcPr>
            <w:tcW w:w="622"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48%</w:t>
            </w:r>
          </w:p>
        </w:tc>
        <w:tc>
          <w:tcPr>
            <w:tcW w:w="622" w:type="dxa"/>
            <w:tcBorders>
              <w:top w:val="single" w:sz="8" w:space="0" w:color="auto"/>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39%</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DOC</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728</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462</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63%</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right"/>
              <w:rPr>
                <w:sz w:val="20"/>
                <w:szCs w:val="20"/>
              </w:rPr>
            </w:pPr>
            <w:r w:rsidRPr="00F10819">
              <w:rPr>
                <w:sz w:val="20"/>
                <w:szCs w:val="20"/>
              </w:rPr>
              <w:t>83%</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82%</w:t>
            </w:r>
          </w:p>
        </w:tc>
        <w:tc>
          <w:tcPr>
            <w:tcW w:w="664"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86%</w:t>
            </w:r>
          </w:p>
        </w:tc>
        <w:tc>
          <w:tcPr>
            <w:tcW w:w="622"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79%</w:t>
            </w:r>
          </w:p>
        </w:tc>
        <w:tc>
          <w:tcPr>
            <w:tcW w:w="622"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79%</w:t>
            </w:r>
          </w:p>
        </w:tc>
        <w:tc>
          <w:tcPr>
            <w:tcW w:w="622" w:type="dxa"/>
            <w:tcBorders>
              <w:top w:val="nil"/>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DOD</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6,800</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2,753</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40%</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spacing w:after="0" w:line="240" w:lineRule="auto"/>
              <w:jc w:val="right"/>
              <w:rPr>
                <w:sz w:val="20"/>
                <w:szCs w:val="20"/>
              </w:rPr>
            </w:pPr>
            <w:r w:rsidRPr="00F10819">
              <w:rPr>
                <w:sz w:val="20"/>
                <w:szCs w:val="20"/>
              </w:rPr>
              <w:t>26%</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26%</w:t>
            </w:r>
          </w:p>
        </w:tc>
        <w:tc>
          <w:tcPr>
            <w:tcW w:w="664"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36%</w:t>
            </w:r>
          </w:p>
        </w:tc>
        <w:tc>
          <w:tcPr>
            <w:tcW w:w="622"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24%</w:t>
            </w:r>
          </w:p>
        </w:tc>
        <w:tc>
          <w:tcPr>
            <w:tcW w:w="622"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24%</w:t>
            </w:r>
          </w:p>
        </w:tc>
        <w:tc>
          <w:tcPr>
            <w:tcW w:w="622" w:type="dxa"/>
            <w:tcBorders>
              <w:top w:val="nil"/>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20%</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Ed.</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403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317</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79%</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right"/>
              <w:rPr>
                <w:sz w:val="20"/>
                <w:szCs w:val="20"/>
              </w:rPr>
            </w:pPr>
            <w:r w:rsidRPr="00F10819">
              <w:rPr>
                <w:sz w:val="20"/>
                <w:szCs w:val="20"/>
              </w:rPr>
              <w:t>75%</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18%</w:t>
            </w:r>
          </w:p>
        </w:tc>
        <w:tc>
          <w:tcPr>
            <w:tcW w:w="664"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w:t>
            </w:r>
          </w:p>
        </w:tc>
        <w:tc>
          <w:tcPr>
            <w:tcW w:w="622"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w:t>
            </w:r>
          </w:p>
        </w:tc>
        <w:tc>
          <w:tcPr>
            <w:tcW w:w="622"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6%</w:t>
            </w:r>
          </w:p>
        </w:tc>
        <w:tc>
          <w:tcPr>
            <w:tcW w:w="622" w:type="dxa"/>
            <w:tcBorders>
              <w:top w:val="nil"/>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2%</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Energy</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405</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377</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93%</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spacing w:after="0" w:line="240" w:lineRule="auto"/>
              <w:jc w:val="right"/>
              <w:rPr>
                <w:sz w:val="20"/>
                <w:szCs w:val="20"/>
              </w:rPr>
            </w:pPr>
            <w:r w:rsidRPr="00F10819">
              <w:rPr>
                <w:sz w:val="20"/>
                <w:szCs w:val="20"/>
              </w:rPr>
              <w:t>84%</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14%</w:t>
            </w:r>
          </w:p>
        </w:tc>
        <w:tc>
          <w:tcPr>
            <w:tcW w:w="664"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12%</w:t>
            </w:r>
          </w:p>
        </w:tc>
        <w:tc>
          <w:tcPr>
            <w:tcW w:w="622"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21%</w:t>
            </w:r>
          </w:p>
        </w:tc>
        <w:tc>
          <w:tcPr>
            <w:tcW w:w="622"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8%</w:t>
            </w:r>
          </w:p>
        </w:tc>
        <w:tc>
          <w:tcPr>
            <w:tcW w:w="622" w:type="dxa"/>
            <w:tcBorders>
              <w:top w:val="nil"/>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HHS</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2,887</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2,660</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spacing w:after="0" w:line="240" w:lineRule="auto"/>
              <w:jc w:val="right"/>
              <w:rPr>
                <w:sz w:val="20"/>
                <w:szCs w:val="20"/>
              </w:rPr>
            </w:pPr>
            <w:r w:rsidRPr="00F10819">
              <w:rPr>
                <w:sz w:val="20"/>
                <w:szCs w:val="20"/>
              </w:rPr>
              <w:t>93%</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43%</w:t>
            </w:r>
          </w:p>
        </w:tc>
        <w:tc>
          <w:tcPr>
            <w:tcW w:w="664"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14%</w:t>
            </w:r>
          </w:p>
        </w:tc>
        <w:tc>
          <w:tcPr>
            <w:tcW w:w="622"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12%</w:t>
            </w:r>
          </w:p>
        </w:tc>
        <w:tc>
          <w:tcPr>
            <w:tcW w:w="622"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13%</w:t>
            </w:r>
          </w:p>
        </w:tc>
        <w:tc>
          <w:tcPr>
            <w:tcW w:w="622" w:type="dxa"/>
            <w:tcBorders>
              <w:top w:val="nil"/>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11%</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DHS</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2,464</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718</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29%</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spacing w:after="0" w:line="240" w:lineRule="auto"/>
              <w:jc w:val="right"/>
              <w:rPr>
                <w:sz w:val="20"/>
                <w:szCs w:val="20"/>
              </w:rPr>
            </w:pPr>
            <w:r w:rsidRPr="00F10819">
              <w:rPr>
                <w:sz w:val="20"/>
                <w:szCs w:val="20"/>
              </w:rPr>
              <w:t>40%</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38%</w:t>
            </w:r>
          </w:p>
        </w:tc>
        <w:tc>
          <w:tcPr>
            <w:tcW w:w="664"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48%</w:t>
            </w:r>
          </w:p>
        </w:tc>
        <w:tc>
          <w:tcPr>
            <w:tcW w:w="622"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50%</w:t>
            </w:r>
          </w:p>
        </w:tc>
        <w:tc>
          <w:tcPr>
            <w:tcW w:w="622"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47%</w:t>
            </w:r>
          </w:p>
        </w:tc>
        <w:tc>
          <w:tcPr>
            <w:tcW w:w="622" w:type="dxa"/>
            <w:tcBorders>
              <w:top w:val="nil"/>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40%</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HUD</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34</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63%</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spacing w:after="0" w:line="240" w:lineRule="auto"/>
              <w:jc w:val="right"/>
              <w:rPr>
                <w:sz w:val="20"/>
                <w:szCs w:val="20"/>
              </w:rPr>
            </w:pPr>
            <w:r w:rsidRPr="00F10819">
              <w:rPr>
                <w:sz w:val="20"/>
                <w:szCs w:val="20"/>
              </w:rPr>
              <w:t>100%</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75%</w:t>
            </w:r>
          </w:p>
        </w:tc>
        <w:tc>
          <w:tcPr>
            <w:tcW w:w="664"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75%</w:t>
            </w:r>
          </w:p>
        </w:tc>
        <w:tc>
          <w:tcPr>
            <w:tcW w:w="622"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79%</w:t>
            </w:r>
          </w:p>
        </w:tc>
        <w:tc>
          <w:tcPr>
            <w:tcW w:w="622"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73%</w:t>
            </w:r>
          </w:p>
        </w:tc>
        <w:tc>
          <w:tcPr>
            <w:tcW w:w="622" w:type="dxa"/>
            <w:tcBorders>
              <w:top w:val="nil"/>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DOI</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341</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157</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46%</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spacing w:after="0" w:line="240" w:lineRule="auto"/>
              <w:jc w:val="right"/>
              <w:rPr>
                <w:sz w:val="20"/>
                <w:szCs w:val="20"/>
              </w:rPr>
            </w:pPr>
            <w:r w:rsidRPr="00F10819">
              <w:rPr>
                <w:sz w:val="20"/>
                <w:szCs w:val="20"/>
              </w:rPr>
              <w:t>36%</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20%</w:t>
            </w:r>
          </w:p>
        </w:tc>
        <w:tc>
          <w:tcPr>
            <w:tcW w:w="664"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74%</w:t>
            </w:r>
          </w:p>
        </w:tc>
        <w:tc>
          <w:tcPr>
            <w:tcW w:w="622"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81%</w:t>
            </w:r>
          </w:p>
        </w:tc>
        <w:tc>
          <w:tcPr>
            <w:tcW w:w="622"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81%</w:t>
            </w:r>
          </w:p>
        </w:tc>
        <w:tc>
          <w:tcPr>
            <w:tcW w:w="622" w:type="dxa"/>
            <w:tcBorders>
              <w:top w:val="nil"/>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72%</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DOJ</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573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83</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15%</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spacing w:after="0" w:line="240" w:lineRule="auto"/>
              <w:jc w:val="right"/>
              <w:rPr>
                <w:sz w:val="20"/>
                <w:szCs w:val="20"/>
              </w:rPr>
            </w:pPr>
            <w:r w:rsidRPr="00F10819">
              <w:rPr>
                <w:sz w:val="20"/>
                <w:szCs w:val="20"/>
              </w:rPr>
              <w:t>32%</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27%</w:t>
            </w:r>
          </w:p>
        </w:tc>
        <w:tc>
          <w:tcPr>
            <w:tcW w:w="664"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58%</w:t>
            </w:r>
          </w:p>
        </w:tc>
        <w:tc>
          <w:tcPr>
            <w:tcW w:w="622"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w:t>
            </w:r>
          </w:p>
        </w:tc>
        <w:tc>
          <w:tcPr>
            <w:tcW w:w="622"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w:t>
            </w:r>
          </w:p>
        </w:tc>
        <w:tc>
          <w:tcPr>
            <w:tcW w:w="622" w:type="dxa"/>
            <w:tcBorders>
              <w:top w:val="nil"/>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9%</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DOL</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184</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125</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68%</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right"/>
              <w:rPr>
                <w:sz w:val="20"/>
                <w:szCs w:val="20"/>
              </w:rPr>
            </w:pPr>
            <w:r w:rsidRPr="00F10819">
              <w:rPr>
                <w:sz w:val="20"/>
                <w:szCs w:val="20"/>
              </w:rPr>
              <w:t>53%</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43%</w:t>
            </w:r>
          </w:p>
        </w:tc>
        <w:tc>
          <w:tcPr>
            <w:tcW w:w="664"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62%</w:t>
            </w:r>
          </w:p>
        </w:tc>
        <w:tc>
          <w:tcPr>
            <w:tcW w:w="622"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55%</w:t>
            </w:r>
          </w:p>
        </w:tc>
        <w:tc>
          <w:tcPr>
            <w:tcW w:w="622"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61%</w:t>
            </w:r>
          </w:p>
        </w:tc>
        <w:tc>
          <w:tcPr>
            <w:tcW w:w="622" w:type="dxa"/>
            <w:tcBorders>
              <w:top w:val="nil"/>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State</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460</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401</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87%</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right"/>
              <w:rPr>
                <w:sz w:val="20"/>
                <w:szCs w:val="20"/>
              </w:rPr>
            </w:pPr>
            <w:r w:rsidRPr="00F10819">
              <w:rPr>
                <w:sz w:val="20"/>
                <w:szCs w:val="20"/>
              </w:rPr>
              <w:t>67%</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71%</w:t>
            </w:r>
          </w:p>
        </w:tc>
        <w:tc>
          <w:tcPr>
            <w:tcW w:w="664"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42%</w:t>
            </w:r>
          </w:p>
        </w:tc>
        <w:tc>
          <w:tcPr>
            <w:tcW w:w="622"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37%</w:t>
            </w:r>
          </w:p>
        </w:tc>
        <w:tc>
          <w:tcPr>
            <w:tcW w:w="622"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37%</w:t>
            </w:r>
          </w:p>
        </w:tc>
        <w:tc>
          <w:tcPr>
            <w:tcW w:w="622" w:type="dxa"/>
            <w:tcBorders>
              <w:top w:val="nil"/>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2%</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DOT</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1,133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212</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19%</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spacing w:after="0" w:line="240" w:lineRule="auto"/>
              <w:jc w:val="right"/>
              <w:rPr>
                <w:sz w:val="20"/>
                <w:szCs w:val="20"/>
              </w:rPr>
            </w:pPr>
            <w:r w:rsidRPr="00F10819">
              <w:rPr>
                <w:sz w:val="20"/>
                <w:szCs w:val="20"/>
              </w:rPr>
              <w:t>16%</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12%</w:t>
            </w:r>
          </w:p>
        </w:tc>
        <w:tc>
          <w:tcPr>
            <w:tcW w:w="664"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16%</w:t>
            </w:r>
          </w:p>
        </w:tc>
        <w:tc>
          <w:tcPr>
            <w:tcW w:w="622"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14%</w:t>
            </w:r>
          </w:p>
        </w:tc>
        <w:tc>
          <w:tcPr>
            <w:tcW w:w="622"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14%</w:t>
            </w:r>
          </w:p>
        </w:tc>
        <w:tc>
          <w:tcPr>
            <w:tcW w:w="622" w:type="dxa"/>
            <w:tcBorders>
              <w:top w:val="nil"/>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24%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Treas.</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1,598</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432</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27%</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spacing w:after="0" w:line="240" w:lineRule="auto"/>
              <w:jc w:val="right"/>
              <w:rPr>
                <w:sz w:val="20"/>
                <w:szCs w:val="20"/>
              </w:rPr>
            </w:pPr>
            <w:r w:rsidRPr="00F10819">
              <w:rPr>
                <w:sz w:val="20"/>
                <w:szCs w:val="20"/>
              </w:rPr>
              <w:t>28%</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24%</w:t>
            </w:r>
          </w:p>
        </w:tc>
        <w:tc>
          <w:tcPr>
            <w:tcW w:w="664"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40%</w:t>
            </w:r>
          </w:p>
        </w:tc>
        <w:tc>
          <w:tcPr>
            <w:tcW w:w="622"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12%</w:t>
            </w:r>
          </w:p>
        </w:tc>
        <w:tc>
          <w:tcPr>
            <w:tcW w:w="622" w:type="dxa"/>
            <w:tcBorders>
              <w:top w:val="single" w:sz="8" w:space="0" w:color="auto"/>
              <w:left w:val="nil"/>
              <w:bottom w:val="single" w:sz="8" w:space="0" w:color="auto"/>
              <w:right w:val="nil"/>
            </w:tcBorders>
            <w:shd w:val="clear" w:color="auto" w:fill="FFC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12%</w:t>
            </w:r>
          </w:p>
        </w:tc>
        <w:tc>
          <w:tcPr>
            <w:tcW w:w="622" w:type="dxa"/>
            <w:tcBorders>
              <w:top w:val="nil"/>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8%</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VA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782</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782</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spacing w:after="0" w:line="240" w:lineRule="auto"/>
              <w:jc w:val="right"/>
              <w:rPr>
                <w:sz w:val="20"/>
                <w:szCs w:val="20"/>
              </w:rPr>
            </w:pPr>
            <w:r w:rsidRPr="00F10819">
              <w:rPr>
                <w:sz w:val="20"/>
                <w:szCs w:val="20"/>
              </w:rPr>
              <w:t>24%</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41%</w:t>
            </w:r>
          </w:p>
        </w:tc>
        <w:tc>
          <w:tcPr>
            <w:tcW w:w="664"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79%</w:t>
            </w:r>
          </w:p>
        </w:tc>
        <w:tc>
          <w:tcPr>
            <w:tcW w:w="622"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79%</w:t>
            </w:r>
          </w:p>
        </w:tc>
        <w:tc>
          <w:tcPr>
            <w:tcW w:w="622"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15%</w:t>
            </w:r>
          </w:p>
        </w:tc>
        <w:tc>
          <w:tcPr>
            <w:tcW w:w="622" w:type="dxa"/>
            <w:tcBorders>
              <w:top w:val="nil"/>
              <w:left w:val="nil"/>
              <w:bottom w:val="single" w:sz="8" w:space="0" w:color="auto"/>
              <w:right w:val="nil"/>
            </w:tcBorders>
            <w:shd w:val="clear" w:color="auto" w:fill="FFFF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19%</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EPA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72</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67</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92%</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spacing w:after="0" w:line="240" w:lineRule="auto"/>
              <w:jc w:val="right"/>
              <w:rPr>
                <w:sz w:val="20"/>
                <w:szCs w:val="20"/>
              </w:rPr>
            </w:pPr>
            <w:r w:rsidRPr="00F10819">
              <w:rPr>
                <w:sz w:val="20"/>
                <w:szCs w:val="20"/>
              </w:rPr>
              <w:t>52%</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61%</w:t>
            </w:r>
          </w:p>
        </w:tc>
        <w:tc>
          <w:tcPr>
            <w:tcW w:w="664"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75%</w:t>
            </w:r>
          </w:p>
        </w:tc>
        <w:tc>
          <w:tcPr>
            <w:tcW w:w="622"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83%</w:t>
            </w:r>
          </w:p>
        </w:tc>
        <w:tc>
          <w:tcPr>
            <w:tcW w:w="622" w:type="dxa"/>
            <w:tcBorders>
              <w:top w:val="single" w:sz="8" w:space="0" w:color="auto"/>
              <w:left w:val="nil"/>
              <w:bottom w:val="single" w:sz="8" w:space="0" w:color="auto"/>
              <w:right w:val="nil"/>
            </w:tcBorders>
            <w:shd w:val="clear" w:color="auto" w:fill="0070C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76%</w:t>
            </w:r>
          </w:p>
        </w:tc>
        <w:tc>
          <w:tcPr>
            <w:tcW w:w="622" w:type="dxa"/>
            <w:tcBorders>
              <w:top w:val="nil"/>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62%</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GSA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254</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152</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60%</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spacing w:after="0" w:line="240" w:lineRule="auto"/>
              <w:jc w:val="right"/>
              <w:rPr>
                <w:sz w:val="20"/>
                <w:szCs w:val="20"/>
              </w:rPr>
            </w:pPr>
            <w:r w:rsidRPr="00F10819">
              <w:rPr>
                <w:sz w:val="20"/>
                <w:szCs w:val="20"/>
              </w:rPr>
              <w:t>53%</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38%</w:t>
            </w:r>
          </w:p>
        </w:tc>
        <w:tc>
          <w:tcPr>
            <w:tcW w:w="664"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40%</w:t>
            </w:r>
          </w:p>
        </w:tc>
        <w:tc>
          <w:tcPr>
            <w:tcW w:w="622"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43%</w:t>
            </w:r>
          </w:p>
        </w:tc>
        <w:tc>
          <w:tcPr>
            <w:tcW w:w="622" w:type="dxa"/>
            <w:tcBorders>
              <w:top w:val="nil"/>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44%</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NASA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389</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46</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12%</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spacing w:after="0" w:line="240" w:lineRule="auto"/>
              <w:jc w:val="right"/>
              <w:rPr>
                <w:sz w:val="20"/>
                <w:szCs w:val="20"/>
              </w:rPr>
            </w:pPr>
            <w:r w:rsidRPr="00F10819">
              <w:rPr>
                <w:sz w:val="20"/>
                <w:szCs w:val="20"/>
              </w:rPr>
              <w:t>4%</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64"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21%</w:t>
            </w:r>
          </w:p>
        </w:tc>
        <w:tc>
          <w:tcPr>
            <w:tcW w:w="622"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c>
          <w:tcPr>
            <w:tcW w:w="622" w:type="dxa"/>
            <w:tcBorders>
              <w:top w:val="nil"/>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NSF</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61</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54</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89%</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spacing w:after="0" w:line="240" w:lineRule="auto"/>
              <w:jc w:val="right"/>
              <w:rPr>
                <w:sz w:val="20"/>
                <w:szCs w:val="20"/>
              </w:rPr>
            </w:pPr>
            <w:r w:rsidRPr="00F10819">
              <w:rPr>
                <w:sz w:val="20"/>
                <w:szCs w:val="20"/>
              </w:rPr>
              <w:t>100%</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64"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c>
          <w:tcPr>
            <w:tcW w:w="622" w:type="dxa"/>
            <w:tcBorders>
              <w:top w:val="nil"/>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NRC</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0%</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spacing w:after="0" w:line="240" w:lineRule="auto"/>
              <w:jc w:val="right"/>
              <w:rPr>
                <w:sz w:val="20"/>
                <w:szCs w:val="20"/>
              </w:rPr>
            </w:pPr>
            <w:r w:rsidRPr="00F10819">
              <w:rPr>
                <w:sz w:val="20"/>
                <w:szCs w:val="20"/>
              </w:rPr>
              <w:t>25%</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21%</w:t>
            </w:r>
          </w:p>
        </w:tc>
        <w:tc>
          <w:tcPr>
            <w:tcW w:w="664"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51%</w:t>
            </w:r>
          </w:p>
        </w:tc>
        <w:tc>
          <w:tcPr>
            <w:tcW w:w="622"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67%</w:t>
            </w:r>
          </w:p>
        </w:tc>
        <w:tc>
          <w:tcPr>
            <w:tcW w:w="622"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61%</w:t>
            </w:r>
          </w:p>
        </w:tc>
        <w:tc>
          <w:tcPr>
            <w:tcW w:w="622" w:type="dxa"/>
            <w:tcBorders>
              <w:top w:val="nil"/>
              <w:left w:val="nil"/>
              <w:bottom w:val="single" w:sz="8" w:space="0" w:color="auto"/>
              <w:right w:val="nil"/>
            </w:tcBorders>
            <w:shd w:val="clear" w:color="auto" w:fill="0070C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57%</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OPM</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191</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35</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18%</w:t>
            </w:r>
          </w:p>
        </w:tc>
        <w:tc>
          <w:tcPr>
            <w:tcW w:w="664" w:type="dxa"/>
            <w:tcBorders>
              <w:top w:val="single" w:sz="8" w:space="0" w:color="auto"/>
              <w:left w:val="nil"/>
              <w:bottom w:val="single" w:sz="8" w:space="0" w:color="auto"/>
              <w:right w:val="nil"/>
            </w:tcBorders>
            <w:shd w:val="clear" w:color="auto" w:fill="C00000"/>
          </w:tcPr>
          <w:p w:rsidR="009F1536" w:rsidRPr="00F10819" w:rsidRDefault="009F1536" w:rsidP="002C72C1">
            <w:pPr>
              <w:spacing w:after="0" w:line="240" w:lineRule="auto"/>
              <w:jc w:val="right"/>
              <w:rPr>
                <w:sz w:val="20"/>
                <w:szCs w:val="20"/>
              </w:rPr>
            </w:pPr>
            <w:r w:rsidRPr="00F10819">
              <w:rPr>
                <w:sz w:val="20"/>
                <w:szCs w:val="20"/>
              </w:rPr>
              <w:t>12%</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47%</w:t>
            </w:r>
          </w:p>
        </w:tc>
        <w:tc>
          <w:tcPr>
            <w:tcW w:w="664"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6%</w:t>
            </w:r>
          </w:p>
        </w:tc>
        <w:tc>
          <w:tcPr>
            <w:tcW w:w="622" w:type="dxa"/>
            <w:tcBorders>
              <w:top w:val="single" w:sz="8" w:space="0" w:color="auto"/>
              <w:left w:val="nil"/>
              <w:bottom w:val="single" w:sz="8" w:space="0" w:color="auto"/>
              <w:right w:val="nil"/>
            </w:tcBorders>
            <w:shd w:val="clear" w:color="auto" w:fill="92D05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49%</w:t>
            </w:r>
          </w:p>
        </w:tc>
        <w:tc>
          <w:tcPr>
            <w:tcW w:w="622" w:type="dxa"/>
            <w:tcBorders>
              <w:top w:val="single" w:sz="8" w:space="0" w:color="auto"/>
              <w:left w:val="nil"/>
              <w:bottom w:val="single" w:sz="8" w:space="0" w:color="auto"/>
              <w:right w:val="nil"/>
            </w:tcBorders>
            <w:shd w:val="clear" w:color="auto" w:fill="92D05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49%</w:t>
            </w:r>
          </w:p>
        </w:tc>
        <w:tc>
          <w:tcPr>
            <w:tcW w:w="622" w:type="dxa"/>
            <w:tcBorders>
              <w:top w:val="nil"/>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43%</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SBA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43</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13</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31%</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spacing w:after="0" w:line="240" w:lineRule="auto"/>
              <w:jc w:val="right"/>
              <w:rPr>
                <w:sz w:val="20"/>
                <w:szCs w:val="20"/>
              </w:rPr>
            </w:pPr>
            <w:r w:rsidRPr="00F10819">
              <w:rPr>
                <w:sz w:val="20"/>
                <w:szCs w:val="20"/>
              </w:rPr>
              <w:t>20%</w:t>
            </w:r>
          </w:p>
        </w:tc>
        <w:tc>
          <w:tcPr>
            <w:tcW w:w="664" w:type="dxa"/>
            <w:tcBorders>
              <w:top w:val="single" w:sz="8" w:space="0" w:color="auto"/>
              <w:left w:val="nil"/>
              <w:bottom w:val="single" w:sz="8" w:space="0" w:color="auto"/>
              <w:right w:val="nil"/>
            </w:tcBorders>
            <w:shd w:val="clear" w:color="auto" w:fill="FFC00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21%</w:t>
            </w:r>
          </w:p>
        </w:tc>
        <w:tc>
          <w:tcPr>
            <w:tcW w:w="664"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35%</w:t>
            </w:r>
          </w:p>
        </w:tc>
        <w:tc>
          <w:tcPr>
            <w:tcW w:w="622" w:type="dxa"/>
            <w:tcBorders>
              <w:top w:val="single" w:sz="8" w:space="0" w:color="auto"/>
              <w:left w:val="nil"/>
              <w:bottom w:val="single" w:sz="8" w:space="0" w:color="auto"/>
              <w:right w:val="nil"/>
            </w:tcBorders>
            <w:shd w:val="clear" w:color="auto" w:fill="FFC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w:t>
            </w:r>
          </w:p>
        </w:tc>
        <w:tc>
          <w:tcPr>
            <w:tcW w:w="622"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5%</w:t>
            </w:r>
          </w:p>
        </w:tc>
        <w:tc>
          <w:tcPr>
            <w:tcW w:w="622" w:type="dxa"/>
            <w:tcBorders>
              <w:top w:val="nil"/>
              <w:left w:val="nil"/>
              <w:bottom w:val="single" w:sz="8" w:space="0" w:color="auto"/>
              <w:right w:val="nil"/>
            </w:tcBorders>
            <w:shd w:val="clear" w:color="auto" w:fill="92D05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47%</w:t>
            </w:r>
          </w:p>
        </w:tc>
      </w:tr>
      <w:tr w:rsidR="00950802" w:rsidRPr="00F10819" w:rsidTr="00950802">
        <w:trPr>
          <w:trHeight w:val="173"/>
        </w:trPr>
        <w:tc>
          <w:tcPr>
            <w:tcW w:w="819" w:type="dxa"/>
            <w:tcBorders>
              <w:top w:val="nil"/>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SSA</w:t>
            </w:r>
          </w:p>
        </w:tc>
        <w:tc>
          <w:tcPr>
            <w:tcW w:w="810"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150</w:t>
            </w:r>
          </w:p>
        </w:tc>
        <w:tc>
          <w:tcPr>
            <w:tcW w:w="672" w:type="dxa"/>
            <w:tcBorders>
              <w:top w:val="nil"/>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105</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70%</w:t>
            </w:r>
          </w:p>
        </w:tc>
        <w:tc>
          <w:tcPr>
            <w:tcW w:w="664" w:type="dxa"/>
            <w:tcBorders>
              <w:top w:val="single" w:sz="8" w:space="0" w:color="auto"/>
              <w:left w:val="nil"/>
              <w:bottom w:val="single" w:sz="8" w:space="0" w:color="auto"/>
              <w:right w:val="nil"/>
            </w:tcBorders>
            <w:shd w:val="clear" w:color="auto" w:fill="FFFF00"/>
          </w:tcPr>
          <w:p w:rsidR="009F1536" w:rsidRPr="00F10819" w:rsidRDefault="009F1536" w:rsidP="002C72C1">
            <w:pPr>
              <w:spacing w:after="0" w:line="240" w:lineRule="auto"/>
              <w:jc w:val="right"/>
              <w:rPr>
                <w:sz w:val="20"/>
                <w:szCs w:val="20"/>
              </w:rPr>
            </w:pPr>
            <w:r w:rsidRPr="00F10819">
              <w:rPr>
                <w:sz w:val="20"/>
                <w:szCs w:val="20"/>
              </w:rPr>
              <w:t>47%</w:t>
            </w:r>
          </w:p>
        </w:tc>
        <w:tc>
          <w:tcPr>
            <w:tcW w:w="664" w:type="dxa"/>
            <w:tcBorders>
              <w:top w:val="single" w:sz="8" w:space="0" w:color="auto"/>
              <w:left w:val="nil"/>
              <w:bottom w:val="single" w:sz="8" w:space="0" w:color="auto"/>
              <w:right w:val="nil"/>
            </w:tcBorders>
            <w:shd w:val="clear" w:color="auto" w:fill="92D05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52%</w:t>
            </w:r>
          </w:p>
        </w:tc>
        <w:tc>
          <w:tcPr>
            <w:tcW w:w="664"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FFFF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15%</w:t>
            </w:r>
          </w:p>
        </w:tc>
        <w:tc>
          <w:tcPr>
            <w:tcW w:w="622" w:type="dxa"/>
            <w:tcBorders>
              <w:top w:val="single" w:sz="8" w:space="0" w:color="auto"/>
              <w:left w:val="nil"/>
              <w:bottom w:val="single" w:sz="8" w:space="0" w:color="auto"/>
              <w:right w:val="nil"/>
            </w:tcBorders>
            <w:shd w:val="clear" w:color="auto" w:fill="FFFF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15%</w:t>
            </w:r>
          </w:p>
        </w:tc>
        <w:tc>
          <w:tcPr>
            <w:tcW w:w="622" w:type="dxa"/>
            <w:tcBorders>
              <w:top w:val="nil"/>
              <w:left w:val="nil"/>
              <w:bottom w:val="single" w:sz="8" w:space="0" w:color="auto"/>
              <w:right w:val="nil"/>
            </w:tcBorders>
            <w:shd w:val="clear" w:color="auto" w:fill="FFC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10%</w:t>
            </w:r>
          </w:p>
        </w:tc>
      </w:tr>
      <w:tr w:rsidR="00950802" w:rsidRPr="00F10819" w:rsidTr="00950802">
        <w:trPr>
          <w:trHeight w:val="173"/>
        </w:trPr>
        <w:tc>
          <w:tcPr>
            <w:tcW w:w="819" w:type="dxa"/>
            <w:tcBorders>
              <w:top w:val="single" w:sz="8" w:space="0" w:color="auto"/>
              <w:left w:val="nil"/>
              <w:bottom w:val="single" w:sz="8" w:space="0" w:color="auto"/>
              <w:right w:val="nil"/>
            </w:tcBorders>
            <w:shd w:val="clear" w:color="auto" w:fill="auto"/>
            <w:noWrap/>
            <w:vAlign w:val="center"/>
            <w:hideMark/>
          </w:tcPr>
          <w:p w:rsidR="009F1536" w:rsidRPr="00F10819" w:rsidRDefault="009F1536" w:rsidP="002C72C1">
            <w:pPr>
              <w:spacing w:after="0" w:line="240" w:lineRule="auto"/>
              <w:rPr>
                <w:rFonts w:eastAsia="Times New Roman" w:cs="Times New Roman"/>
                <w:sz w:val="20"/>
                <w:szCs w:val="20"/>
              </w:rPr>
            </w:pPr>
            <w:r w:rsidRPr="00F10819">
              <w:rPr>
                <w:rFonts w:eastAsia="Times New Roman" w:cs="Times New Roman"/>
                <w:sz w:val="20"/>
                <w:szCs w:val="20"/>
              </w:rPr>
              <w:t>USAID</w:t>
            </w:r>
          </w:p>
        </w:tc>
        <w:tc>
          <w:tcPr>
            <w:tcW w:w="810"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34</w:t>
            </w:r>
          </w:p>
        </w:tc>
        <w:tc>
          <w:tcPr>
            <w:tcW w:w="672" w:type="dxa"/>
            <w:tcBorders>
              <w:top w:val="single" w:sz="8" w:space="0" w:color="auto"/>
              <w:left w:val="nil"/>
              <w:bottom w:val="single" w:sz="8" w:space="0" w:color="auto"/>
              <w:right w:val="nil"/>
            </w:tcBorders>
            <w:shd w:val="clear" w:color="auto" w:fill="auto"/>
            <w:noWrap/>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34</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center"/>
              <w:rPr>
                <w:rFonts w:cs="Calibri"/>
                <w:sz w:val="20"/>
                <w:szCs w:val="20"/>
              </w:rPr>
            </w:pPr>
            <w:r w:rsidRPr="00F10819">
              <w:rPr>
                <w:rFonts w:cs="Calibri"/>
                <w:sz w:val="20"/>
                <w:szCs w:val="20"/>
              </w:rPr>
              <w:t>100%</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spacing w:after="0" w:line="240" w:lineRule="auto"/>
              <w:jc w:val="right"/>
              <w:rPr>
                <w:sz w:val="20"/>
                <w:szCs w:val="20"/>
              </w:rPr>
            </w:pPr>
            <w:r w:rsidRPr="00F10819">
              <w:rPr>
                <w:sz w:val="20"/>
                <w:szCs w:val="20"/>
              </w:rPr>
              <w:t>100%</w:t>
            </w:r>
          </w:p>
        </w:tc>
        <w:tc>
          <w:tcPr>
            <w:tcW w:w="664" w:type="dxa"/>
            <w:tcBorders>
              <w:top w:val="single" w:sz="8" w:space="0" w:color="auto"/>
              <w:left w:val="nil"/>
              <w:bottom w:val="single" w:sz="8" w:space="0" w:color="auto"/>
              <w:right w:val="nil"/>
            </w:tcBorders>
            <w:shd w:val="clear" w:color="auto" w:fill="0070C0"/>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64" w:type="dxa"/>
            <w:tcBorders>
              <w:top w:val="single" w:sz="8" w:space="0" w:color="auto"/>
              <w:left w:val="nil"/>
              <w:bottom w:val="single" w:sz="8" w:space="0" w:color="auto"/>
              <w:right w:val="nil"/>
            </w:tcBorders>
            <w:shd w:val="clear" w:color="auto" w:fill="0070C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100%</w:t>
            </w:r>
          </w:p>
        </w:tc>
        <w:tc>
          <w:tcPr>
            <w:tcW w:w="622" w:type="dxa"/>
            <w:tcBorders>
              <w:top w:val="single" w:sz="8" w:space="0" w:color="auto"/>
              <w:left w:val="nil"/>
              <w:bottom w:val="single" w:sz="8" w:space="0" w:color="auto"/>
              <w:right w:val="nil"/>
            </w:tcBorders>
            <w:shd w:val="clear" w:color="auto" w:fill="C00000"/>
            <w:vAlign w:val="bottom"/>
          </w:tcPr>
          <w:p w:rsidR="009F1536" w:rsidRPr="00F10819" w:rsidRDefault="009F1536" w:rsidP="002C72C1">
            <w:pPr>
              <w:autoSpaceDE w:val="0"/>
              <w:autoSpaceDN w:val="0"/>
              <w:adjustRightInd w:val="0"/>
              <w:spacing w:after="0" w:line="240" w:lineRule="auto"/>
              <w:jc w:val="right"/>
              <w:rPr>
                <w:rFonts w:cs="Calibri"/>
                <w:sz w:val="20"/>
                <w:szCs w:val="20"/>
              </w:rPr>
            </w:pPr>
            <w:r w:rsidRPr="00F10819">
              <w:rPr>
                <w:rFonts w:cs="Calibri"/>
                <w:sz w:val="20"/>
                <w:szCs w:val="20"/>
              </w:rPr>
              <w:t>0%</w:t>
            </w:r>
          </w:p>
        </w:tc>
        <w:tc>
          <w:tcPr>
            <w:tcW w:w="622" w:type="dxa"/>
            <w:tcBorders>
              <w:top w:val="single" w:sz="8" w:space="0" w:color="auto"/>
              <w:left w:val="nil"/>
              <w:bottom w:val="single" w:sz="8" w:space="0" w:color="auto"/>
              <w:right w:val="nil"/>
            </w:tcBorders>
            <w:shd w:val="clear" w:color="auto" w:fill="C00000"/>
            <w:noWrap/>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c>
          <w:tcPr>
            <w:tcW w:w="622" w:type="dxa"/>
            <w:tcBorders>
              <w:top w:val="single" w:sz="8" w:space="0" w:color="auto"/>
              <w:left w:val="nil"/>
              <w:bottom w:val="single" w:sz="8" w:space="0" w:color="auto"/>
              <w:right w:val="nil"/>
            </w:tcBorders>
            <w:shd w:val="clear" w:color="auto" w:fill="C00000"/>
            <w:vAlign w:val="bottom"/>
            <w:hideMark/>
          </w:tcPr>
          <w:p w:rsidR="009F1536" w:rsidRPr="00F10819" w:rsidRDefault="009F1536" w:rsidP="002C72C1">
            <w:pPr>
              <w:spacing w:after="0" w:line="240" w:lineRule="auto"/>
              <w:jc w:val="right"/>
              <w:rPr>
                <w:rFonts w:eastAsia="Times New Roman" w:cs="Times New Roman"/>
                <w:sz w:val="20"/>
                <w:szCs w:val="20"/>
              </w:rPr>
            </w:pPr>
            <w:r w:rsidRPr="00F10819">
              <w:rPr>
                <w:rFonts w:eastAsia="Times New Roman" w:cs="Times New Roman"/>
                <w:sz w:val="20"/>
                <w:szCs w:val="20"/>
              </w:rPr>
              <w:t>0%</w:t>
            </w:r>
          </w:p>
        </w:tc>
      </w:tr>
      <w:tr w:rsidR="00E42A3E" w:rsidRPr="00F10819" w:rsidTr="009F1536">
        <w:trPr>
          <w:trHeight w:val="173"/>
        </w:trPr>
        <w:tc>
          <w:tcPr>
            <w:tcW w:w="6823" w:type="dxa"/>
            <w:gridSpan w:val="10"/>
            <w:tcBorders>
              <w:top w:val="single" w:sz="8" w:space="0" w:color="auto"/>
              <w:left w:val="nil"/>
              <w:right w:val="nil"/>
            </w:tcBorders>
          </w:tcPr>
          <w:p w:rsidR="00E42A3E" w:rsidRPr="00F10819" w:rsidRDefault="00E42A3E" w:rsidP="002C72C1">
            <w:pPr>
              <w:spacing w:after="0" w:line="240" w:lineRule="auto"/>
              <w:rPr>
                <w:rFonts w:eastAsia="Times New Roman" w:cs="Times New Roman"/>
                <w:sz w:val="20"/>
                <w:szCs w:val="20"/>
              </w:rPr>
            </w:pPr>
          </w:p>
        </w:tc>
      </w:tr>
    </w:tbl>
    <w:p w:rsidR="00D46F6D" w:rsidRPr="008B2287" w:rsidRDefault="008C7694" w:rsidP="002C72C1">
      <w:pPr>
        <w:pStyle w:val="BodyText"/>
        <w:spacing w:line="240" w:lineRule="auto"/>
      </w:pPr>
      <w:r w:rsidRPr="008B2287">
        <w:rPr>
          <w:rStyle w:val="Heading3Char"/>
          <w:rFonts w:asciiTheme="minorHAnsi" w:hAnsiTheme="minorHAnsi"/>
        </w:rPr>
        <w:t>Why it’s important</w:t>
      </w:r>
      <w:r w:rsidR="00413378" w:rsidRPr="008B2287">
        <w:t>:</w:t>
      </w:r>
      <w:r w:rsidR="00413378" w:rsidRPr="008B2287">
        <w:rPr>
          <w:b/>
        </w:rPr>
        <w:t xml:space="preserve"> </w:t>
      </w:r>
      <w:r w:rsidR="00C52D53" w:rsidRPr="008B2287">
        <w:t>OMB’s IT Dashboard is a</w:t>
      </w:r>
      <w:r w:rsidR="008E025C" w:rsidRPr="008B2287">
        <w:t xml:space="preserve"> public</w:t>
      </w:r>
      <w:r w:rsidR="00C52D53" w:rsidRPr="008B2287">
        <w:t xml:space="preserve"> website</w:t>
      </w:r>
      <w:r w:rsidR="009E7DFE" w:rsidRPr="008B2287">
        <w:t xml:space="preserve"> </w:t>
      </w:r>
      <w:r w:rsidR="00F94147">
        <w:t>(</w:t>
      </w:r>
      <w:hyperlink r:id="rId10" w:history="1">
        <w:r w:rsidR="00F94147" w:rsidRPr="00D756F6">
          <w:rPr>
            <w:rStyle w:val="Hyperlink"/>
          </w:rPr>
          <w:t>https://itdashboard.gov/</w:t>
        </w:r>
      </w:hyperlink>
      <w:r w:rsidR="00F94147">
        <w:t xml:space="preserve">) </w:t>
      </w:r>
      <w:r w:rsidR="009E7DFE" w:rsidRPr="008B2287">
        <w:t>that enables</w:t>
      </w:r>
      <w:r w:rsidR="00C52D53" w:rsidRPr="008B2287">
        <w:t xml:space="preserve"> federal agencies, industry, the general public and other stakeholders to view details of federal IT investments. For each </w:t>
      </w:r>
      <w:r w:rsidR="00C62A4A" w:rsidRPr="008B2287">
        <w:t>major investment</w:t>
      </w:r>
      <w:r w:rsidR="00C52D53" w:rsidRPr="008B2287">
        <w:t xml:space="preserve">, the responsible agency CIO submits an assessment of risk and the investment's ability to accomplish its goals. </w:t>
      </w:r>
      <w:r w:rsidR="00F94147">
        <w:t>T</w:t>
      </w:r>
      <w:r w:rsidR="00C52D53" w:rsidRPr="008B2287">
        <w:t>his calculation rewards the agenci</w:t>
      </w:r>
      <w:r w:rsidR="00F94147">
        <w:t>es that are reporting more risk</w:t>
      </w:r>
      <w:r w:rsidR="00161F0F">
        <w:t xml:space="preserve">, because </w:t>
      </w:r>
      <w:r w:rsidR="00F94147" w:rsidRPr="008B2287">
        <w:t>the string of high-profile federal IT failures</w:t>
      </w:r>
      <w:r w:rsidR="00161F0F">
        <w:t xml:space="preserve"> demonstrates that increased attention is needed in this area.</w:t>
      </w:r>
    </w:p>
    <w:p w:rsidR="000859C7" w:rsidRPr="008B2287" w:rsidRDefault="00C52D53" w:rsidP="002C72C1">
      <w:pPr>
        <w:pStyle w:val="BodyText"/>
        <w:spacing w:line="240" w:lineRule="auto"/>
      </w:pPr>
      <w:r w:rsidRPr="008B2287">
        <w:rPr>
          <w:rStyle w:val="Heading3Char"/>
          <w:rFonts w:asciiTheme="minorHAnsi" w:hAnsiTheme="minorHAnsi"/>
        </w:rPr>
        <w:t>Calculation</w:t>
      </w:r>
      <w:r w:rsidRPr="008B2287">
        <w:t xml:space="preserve">: The </w:t>
      </w:r>
      <w:r w:rsidR="00CF53B3" w:rsidRPr="008B2287">
        <w:t xml:space="preserve">five </w:t>
      </w:r>
      <w:r w:rsidRPr="008B2287">
        <w:t xml:space="preserve">agencies with the most reported risk </w:t>
      </w:r>
      <w:r w:rsidR="00413378" w:rsidRPr="008B2287">
        <w:t>(</w:t>
      </w:r>
      <w:r w:rsidR="00B17CCC">
        <w:t>the</w:t>
      </w:r>
      <w:r w:rsidR="00413378" w:rsidRPr="008B2287">
        <w:t xml:space="preserve"> portion of investments rated </w:t>
      </w:r>
      <w:r w:rsidR="00161F84" w:rsidRPr="008B2287">
        <w:t>“</w:t>
      </w:r>
      <w:r w:rsidR="005E7F48" w:rsidRPr="008B2287">
        <w:t>red” or “yellow,</w:t>
      </w:r>
      <w:r w:rsidR="00161F84" w:rsidRPr="008B2287">
        <w:t>”</w:t>
      </w:r>
      <w:r w:rsidR="00413378" w:rsidRPr="008B2287">
        <w:t xml:space="preserve"> by dollar) </w:t>
      </w:r>
      <w:r w:rsidR="00B41D40">
        <w:t xml:space="preserve">are given an </w:t>
      </w:r>
      <w:r w:rsidRPr="008B2287">
        <w:t xml:space="preserve">A, the next </w:t>
      </w:r>
      <w:r w:rsidR="00CF53B3" w:rsidRPr="008B2287">
        <w:t xml:space="preserve">five </w:t>
      </w:r>
      <w:r w:rsidR="00B41D40">
        <w:t xml:space="preserve">a </w:t>
      </w:r>
      <w:r w:rsidRPr="008B2287">
        <w:t xml:space="preserve">B, </w:t>
      </w:r>
      <w:proofErr w:type="spellStart"/>
      <w:r w:rsidR="00161F0F">
        <w:t>etc</w:t>
      </w:r>
      <w:proofErr w:type="spellEnd"/>
      <w:r w:rsidR="00161F0F">
        <w:t>… (</w:t>
      </w:r>
      <w:proofErr w:type="gramStart"/>
      <w:r w:rsidR="00161F0F">
        <w:t>note</w:t>
      </w:r>
      <w:proofErr w:type="gramEnd"/>
      <w:r w:rsidR="00161F0F">
        <w:t xml:space="preserve">: there are only </w:t>
      </w:r>
      <w:r w:rsidR="00B41D40">
        <w:t>4 F</w:t>
      </w:r>
      <w:r w:rsidR="005409C6" w:rsidRPr="008B2287">
        <w:t xml:space="preserve"> </w:t>
      </w:r>
      <w:r w:rsidR="00161F0F">
        <w:t xml:space="preserve">grades as </w:t>
      </w:r>
      <w:r w:rsidR="005409C6" w:rsidRPr="008B2287">
        <w:t>only 24 agencies were evaluated)</w:t>
      </w:r>
      <w:r w:rsidR="00CF53B3" w:rsidRPr="008B2287">
        <w:t>.</w:t>
      </w:r>
    </w:p>
    <w:p w:rsidR="000859C7" w:rsidRPr="008B2287" w:rsidRDefault="005827D3" w:rsidP="002C72C1">
      <w:pPr>
        <w:pStyle w:val="BodyText"/>
        <w:spacing w:line="240" w:lineRule="auto"/>
      </w:pPr>
      <w:r w:rsidRPr="008B2287">
        <w:rPr>
          <w:rStyle w:val="Heading3Char"/>
          <w:rFonts w:asciiTheme="minorHAnsi" w:hAnsiTheme="minorHAnsi"/>
        </w:rPr>
        <w:t>Data source</w:t>
      </w:r>
      <w:r w:rsidR="006878BA" w:rsidRPr="008B2287">
        <w:rPr>
          <w:rStyle w:val="Heading3Char"/>
          <w:rFonts w:asciiTheme="minorHAnsi" w:hAnsiTheme="minorHAnsi"/>
        </w:rPr>
        <w:t xml:space="preserve"> (monthly)</w:t>
      </w:r>
      <w:r w:rsidR="00F61574" w:rsidRPr="008B2287">
        <w:rPr>
          <w:rStyle w:val="Heading3Char"/>
          <w:rFonts w:asciiTheme="minorHAnsi" w:hAnsiTheme="minorHAnsi"/>
        </w:rPr>
        <w:t>:</w:t>
      </w:r>
      <w:r w:rsidR="00F61574" w:rsidRPr="008B2287">
        <w:t xml:space="preserve"> Data feeds on OMB’s IT Dashboard</w:t>
      </w:r>
      <w:r w:rsidR="006878BA" w:rsidRPr="008B2287">
        <w:t xml:space="preserve"> as of </w:t>
      </w:r>
      <w:r w:rsidR="00950802">
        <w:t>December</w:t>
      </w:r>
      <w:r w:rsidR="006878BA" w:rsidRPr="008B2287">
        <w:t xml:space="preserve"> 201</w:t>
      </w:r>
      <w:r w:rsidR="00161F0F">
        <w:t>8</w:t>
      </w:r>
      <w:r w:rsidR="00F61574" w:rsidRPr="008B2287">
        <w:t>.</w:t>
      </w:r>
    </w:p>
    <w:p w:rsidR="00CB6953" w:rsidRPr="00325920" w:rsidRDefault="00CB6953" w:rsidP="002C72C1">
      <w:pPr>
        <w:pStyle w:val="BodyText"/>
        <w:spacing w:line="240" w:lineRule="auto"/>
      </w:pPr>
      <w:r w:rsidRPr="008B2287">
        <w:rPr>
          <w:rStyle w:val="Heading3Char"/>
          <w:rFonts w:asciiTheme="minorHAnsi" w:hAnsiTheme="minorHAnsi"/>
        </w:rPr>
        <w:t>Highest-rated agencies</w:t>
      </w:r>
      <w:r w:rsidRPr="008B2287">
        <w:t xml:space="preserve">: </w:t>
      </w:r>
      <w:r w:rsidRPr="0060353F">
        <w:t>Five agencies</w:t>
      </w:r>
      <w:r w:rsidR="00B21111">
        <w:t xml:space="preserve"> </w:t>
      </w:r>
      <w:r w:rsidRPr="005C6D40">
        <w:t>re</w:t>
      </w:r>
      <w:r w:rsidR="00B41D40">
        <w:t xml:space="preserve">ceived </w:t>
      </w:r>
      <w:proofErr w:type="gramStart"/>
      <w:r w:rsidR="00B41D40">
        <w:t>A</w:t>
      </w:r>
      <w:proofErr w:type="gramEnd"/>
      <w:r w:rsidRPr="0060353F">
        <w:t xml:space="preserve"> grades for this portion of the scorecard. For example, </w:t>
      </w:r>
      <w:r w:rsidR="005C6D40" w:rsidRPr="00950802">
        <w:t>HHS</w:t>
      </w:r>
      <w:r w:rsidR="00036BD7" w:rsidRPr="00950802">
        <w:t xml:space="preserve"> </w:t>
      </w:r>
      <w:r w:rsidRPr="00950802">
        <w:t xml:space="preserve">reported </w:t>
      </w:r>
      <w:r w:rsidR="00950802" w:rsidRPr="00950802">
        <w:t>92</w:t>
      </w:r>
      <w:r w:rsidRPr="00950802">
        <w:t>% of its IT spending on major investments (</w:t>
      </w:r>
      <w:r w:rsidR="00E64E27" w:rsidRPr="00950802">
        <w:t>$</w:t>
      </w:r>
      <w:r w:rsidR="005C6D40" w:rsidRPr="00950802">
        <w:t>2.</w:t>
      </w:r>
      <w:r w:rsidR="00950802" w:rsidRPr="00950802">
        <w:t>8</w:t>
      </w:r>
      <w:r w:rsidR="00E64E27" w:rsidRPr="00325920">
        <w:t xml:space="preserve"> </w:t>
      </w:r>
      <w:r w:rsidR="005C6D40">
        <w:t>b</w:t>
      </w:r>
      <w:r w:rsidR="00E64E27" w:rsidRPr="00325920">
        <w:t>illion</w:t>
      </w:r>
      <w:r w:rsidRPr="00325920">
        <w:t xml:space="preserve">) as </w:t>
      </w:r>
      <w:r w:rsidR="00B21111">
        <w:t>at risk.</w:t>
      </w:r>
    </w:p>
    <w:p w:rsidR="00CB6953" w:rsidRPr="008B2287" w:rsidRDefault="00CB6953" w:rsidP="002C72C1">
      <w:pPr>
        <w:pStyle w:val="BodyText"/>
        <w:spacing w:line="240" w:lineRule="auto"/>
      </w:pPr>
      <w:r w:rsidRPr="00325920">
        <w:rPr>
          <w:rStyle w:val="Heading3Char"/>
          <w:rFonts w:asciiTheme="minorHAnsi" w:hAnsiTheme="minorHAnsi"/>
        </w:rPr>
        <w:t>Lowest-rated agencies</w:t>
      </w:r>
      <w:r w:rsidRPr="00325920">
        <w:t xml:space="preserve">: Conversely, </w:t>
      </w:r>
      <w:r w:rsidR="00F34070" w:rsidRPr="00325920">
        <w:t>four</w:t>
      </w:r>
      <w:r w:rsidRPr="00325920">
        <w:t xml:space="preserve"> agencies</w:t>
      </w:r>
      <w:r w:rsidR="00F7640B" w:rsidRPr="00325920">
        <w:t xml:space="preserve"> </w:t>
      </w:r>
      <w:r w:rsidRPr="00B17C91">
        <w:t>re</w:t>
      </w:r>
      <w:r w:rsidRPr="00325920">
        <w:t>ceived failing grades</w:t>
      </w:r>
      <w:r w:rsidR="00950802">
        <w:t xml:space="preserve">, one of which (NRC) </w:t>
      </w:r>
      <w:r w:rsidR="00D41435">
        <w:t>identified</w:t>
      </w:r>
      <w:r w:rsidR="00B17C91">
        <w:t xml:space="preserve"> </w:t>
      </w:r>
      <w:r w:rsidR="00950802">
        <w:t xml:space="preserve">none </w:t>
      </w:r>
      <w:r w:rsidR="00B17C91">
        <w:t xml:space="preserve">of </w:t>
      </w:r>
      <w:r w:rsidR="00036BD7" w:rsidRPr="00325920">
        <w:t xml:space="preserve">their </w:t>
      </w:r>
      <w:r w:rsidRPr="00325920">
        <w:t xml:space="preserve">major IT investments as </w:t>
      </w:r>
      <w:r w:rsidR="00D41435">
        <w:t>at risk</w:t>
      </w:r>
      <w:r w:rsidR="00B17C91">
        <w:t>.</w:t>
      </w:r>
    </w:p>
    <w:p w:rsidR="00F20822" w:rsidRDefault="005827D3" w:rsidP="002C72C1">
      <w:pPr>
        <w:pStyle w:val="BodyText"/>
        <w:spacing w:line="240" w:lineRule="auto"/>
      </w:pPr>
      <w:r w:rsidRPr="008B2287">
        <w:rPr>
          <w:rStyle w:val="Heading3Char"/>
          <w:rFonts w:asciiTheme="minorHAnsi" w:hAnsiTheme="minorHAnsi"/>
        </w:rPr>
        <w:t>GAO reports</w:t>
      </w:r>
      <w:r w:rsidR="00C62A4A" w:rsidRPr="008B2287">
        <w:rPr>
          <w:rStyle w:val="Heading3Char"/>
          <w:rFonts w:asciiTheme="minorHAnsi" w:hAnsiTheme="minorHAnsi"/>
        </w:rPr>
        <w:t>:</w:t>
      </w:r>
      <w:r w:rsidR="00C62A4A" w:rsidRPr="008B2287">
        <w:t xml:space="preserve"> </w:t>
      </w:r>
      <w:r w:rsidR="005E7F48" w:rsidRPr="008B2287">
        <w:t xml:space="preserve">While OMB </w:t>
      </w:r>
      <w:r w:rsidR="00B17CCC">
        <w:t>and the agencies have</w:t>
      </w:r>
      <w:r w:rsidR="005E7F48" w:rsidRPr="008B2287">
        <w:t xml:space="preserve"> taken s</w:t>
      </w:r>
      <w:r w:rsidR="00F7640B">
        <w:t xml:space="preserve">teps to improve the </w:t>
      </w:r>
      <w:r w:rsidR="00B17CCC">
        <w:t xml:space="preserve">ratings on the </w:t>
      </w:r>
      <w:r w:rsidR="00F7640B">
        <w:t xml:space="preserve">Dashboard, </w:t>
      </w:r>
      <w:r w:rsidR="00C62A4A" w:rsidRPr="008B2287">
        <w:t xml:space="preserve">GAO </w:t>
      </w:r>
      <w:r w:rsidR="005E7F48" w:rsidRPr="008B2287">
        <w:t>found</w:t>
      </w:r>
      <w:r w:rsidR="00C62A4A" w:rsidRPr="008B2287">
        <w:t xml:space="preserve"> </w:t>
      </w:r>
      <w:r w:rsidR="00F7640B">
        <w:t>in June 2016 (</w:t>
      </w:r>
      <w:hyperlink r:id="rId11" w:history="1">
        <w:r w:rsidR="00F7640B">
          <w:rPr>
            <w:rStyle w:val="Hyperlink"/>
          </w:rPr>
          <w:t>GAO-16-494</w:t>
        </w:r>
      </w:hyperlink>
      <w:r w:rsidR="00F7640B">
        <w:t xml:space="preserve">) </w:t>
      </w:r>
      <w:r w:rsidR="00C62A4A" w:rsidRPr="008B2287">
        <w:t xml:space="preserve">that </w:t>
      </w:r>
      <w:r w:rsidR="005E7F48" w:rsidRPr="008B2287">
        <w:t xml:space="preserve">agencies </w:t>
      </w:r>
      <w:r w:rsidR="007D73C8">
        <w:t>underreported</w:t>
      </w:r>
      <w:r w:rsidR="005E7F48" w:rsidRPr="008B2287">
        <w:t xml:space="preserve"> the risk of almost two thirds </w:t>
      </w:r>
      <w:r w:rsidR="00F7640B">
        <w:t>of the investments it reviewed.</w:t>
      </w:r>
      <w:r w:rsidR="00F20822">
        <w:br w:type="page"/>
      </w:r>
    </w:p>
    <w:p w:rsidR="0042136A" w:rsidRPr="008B2287" w:rsidRDefault="0042136A" w:rsidP="002C72C1">
      <w:pPr>
        <w:pStyle w:val="Heading2"/>
        <w:pBdr>
          <w:bottom w:val="single" w:sz="4" w:space="1" w:color="auto"/>
        </w:pBdr>
        <w:spacing w:line="240" w:lineRule="auto"/>
        <w:rPr>
          <w:rFonts w:asciiTheme="minorHAnsi" w:hAnsiTheme="minorHAnsi"/>
        </w:rPr>
      </w:pPr>
      <w:r w:rsidRPr="008B2287">
        <w:rPr>
          <w:rFonts w:asciiTheme="minorHAnsi" w:hAnsiTheme="minorHAnsi"/>
        </w:rPr>
        <w:lastRenderedPageBreak/>
        <w:t>Portfolio Review</w:t>
      </w:r>
      <w:r w:rsidR="005827D3" w:rsidRPr="008B2287">
        <w:rPr>
          <w:rFonts w:asciiTheme="minorHAnsi" w:hAnsiTheme="minorHAnsi"/>
        </w:rPr>
        <w:t xml:space="preserve"> (PortfolioStat)</w:t>
      </w:r>
    </w:p>
    <w:p w:rsidR="0042136A" w:rsidRPr="008B2287" w:rsidRDefault="0042136A" w:rsidP="002C72C1">
      <w:pPr>
        <w:pStyle w:val="BodyText"/>
        <w:spacing w:line="240" w:lineRule="auto"/>
      </w:pPr>
      <w:r w:rsidRPr="008B2287">
        <w:t>FITARA requires OMB to develop and most agencies to implement a process to review agency IT investment portfolios in order to, among other things, increase efficiency and effectiveness, and identify potential waste and duplication. In developing the process, the law requires OMB to develop standardized performance metrics, to include cost savings, and to submit a quarterly report on Congress on cost savings.</w:t>
      </w:r>
    </w:p>
    <w:tbl>
      <w:tblPr>
        <w:tblpPr w:leftFromText="180" w:rightFromText="180" w:vertAnchor="text" w:tblpXSpec="right" w:tblpY="989"/>
        <w:tblOverlap w:val="never"/>
        <w:tblW w:w="7568" w:type="dxa"/>
        <w:tblBorders>
          <w:bottom w:val="single" w:sz="8" w:space="0" w:color="auto"/>
          <w:insideH w:val="single" w:sz="8" w:space="0" w:color="auto"/>
        </w:tblBorders>
        <w:tblLayout w:type="fixed"/>
        <w:tblLook w:val="04A0" w:firstRow="1" w:lastRow="0" w:firstColumn="1" w:lastColumn="0" w:noHBand="0" w:noVBand="1"/>
      </w:tblPr>
      <w:tblGrid>
        <w:gridCol w:w="882"/>
        <w:gridCol w:w="954"/>
        <w:gridCol w:w="865"/>
        <w:gridCol w:w="720"/>
        <w:gridCol w:w="720"/>
        <w:gridCol w:w="720"/>
        <w:gridCol w:w="720"/>
        <w:gridCol w:w="720"/>
        <w:gridCol w:w="630"/>
        <w:gridCol w:w="637"/>
      </w:tblGrid>
      <w:tr w:rsidR="00DC0087" w:rsidRPr="00DC0087" w:rsidTr="00B73111">
        <w:trPr>
          <w:trHeight w:val="173"/>
        </w:trPr>
        <w:tc>
          <w:tcPr>
            <w:tcW w:w="882" w:type="dxa"/>
            <w:shd w:val="clear" w:color="auto" w:fill="auto"/>
            <w:vAlign w:val="bottom"/>
            <w:hideMark/>
          </w:tcPr>
          <w:p w:rsidR="00D41435" w:rsidRPr="00DC0087" w:rsidRDefault="00D41435" w:rsidP="002C72C1">
            <w:pPr>
              <w:spacing w:after="0" w:line="240" w:lineRule="auto"/>
              <w:rPr>
                <w:rFonts w:eastAsia="Times New Roman" w:cs="Times New Roman"/>
                <w:b/>
                <w:bCs/>
                <w:sz w:val="20"/>
                <w:szCs w:val="20"/>
              </w:rPr>
            </w:pPr>
            <w:r w:rsidRPr="00DC0087">
              <w:rPr>
                <w:rFonts w:eastAsia="Times New Roman" w:cs="Times New Roman"/>
                <w:b/>
                <w:bCs/>
                <w:sz w:val="20"/>
                <w:szCs w:val="20"/>
              </w:rPr>
              <w:t>Agency</w:t>
            </w:r>
          </w:p>
        </w:tc>
        <w:tc>
          <w:tcPr>
            <w:tcW w:w="954" w:type="dxa"/>
            <w:shd w:val="clear" w:color="auto" w:fill="auto"/>
            <w:vAlign w:val="bottom"/>
            <w:hideMark/>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3 FY IT budgets</w:t>
            </w:r>
          </w:p>
        </w:tc>
        <w:tc>
          <w:tcPr>
            <w:tcW w:w="865" w:type="dxa"/>
            <w:shd w:val="clear" w:color="auto" w:fill="auto"/>
            <w:vAlign w:val="bottom"/>
            <w:hideMark/>
          </w:tcPr>
          <w:p w:rsidR="00D41435" w:rsidRPr="00DC0087" w:rsidRDefault="00D41435" w:rsidP="002C72C1">
            <w:pPr>
              <w:spacing w:after="0" w:line="240" w:lineRule="auto"/>
              <w:rPr>
                <w:rFonts w:eastAsia="Times New Roman" w:cs="Times New Roman"/>
                <w:b/>
                <w:bCs/>
                <w:sz w:val="20"/>
                <w:szCs w:val="20"/>
              </w:rPr>
            </w:pPr>
            <w:r w:rsidRPr="00DC0087">
              <w:rPr>
                <w:rFonts w:eastAsia="Times New Roman" w:cs="Times New Roman"/>
                <w:b/>
                <w:bCs/>
                <w:sz w:val="20"/>
                <w:szCs w:val="20"/>
              </w:rPr>
              <w:t>Savings</w:t>
            </w:r>
          </w:p>
        </w:tc>
        <w:tc>
          <w:tcPr>
            <w:tcW w:w="720" w:type="dxa"/>
            <w:vAlign w:val="bottom"/>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Dec. 2018</w:t>
            </w:r>
          </w:p>
        </w:tc>
        <w:tc>
          <w:tcPr>
            <w:tcW w:w="720" w:type="dxa"/>
            <w:vAlign w:val="bottom"/>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May 2018</w:t>
            </w:r>
          </w:p>
        </w:tc>
        <w:tc>
          <w:tcPr>
            <w:tcW w:w="720" w:type="dxa"/>
            <w:shd w:val="clear" w:color="auto" w:fill="auto"/>
            <w:vAlign w:val="bottom"/>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Nov. 2017</w:t>
            </w:r>
          </w:p>
        </w:tc>
        <w:tc>
          <w:tcPr>
            <w:tcW w:w="720" w:type="dxa"/>
            <w:shd w:val="clear" w:color="auto" w:fill="auto"/>
            <w:vAlign w:val="bottom"/>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June 2017</w:t>
            </w:r>
          </w:p>
        </w:tc>
        <w:tc>
          <w:tcPr>
            <w:tcW w:w="720" w:type="dxa"/>
            <w:shd w:val="clear" w:color="auto" w:fill="auto"/>
            <w:vAlign w:val="bottom"/>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Dec. 2016</w:t>
            </w:r>
          </w:p>
        </w:tc>
        <w:tc>
          <w:tcPr>
            <w:tcW w:w="630" w:type="dxa"/>
            <w:shd w:val="clear" w:color="auto" w:fill="auto"/>
            <w:vAlign w:val="bottom"/>
            <w:hideMark/>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May 2016</w:t>
            </w:r>
          </w:p>
        </w:tc>
        <w:tc>
          <w:tcPr>
            <w:tcW w:w="637" w:type="dxa"/>
            <w:shd w:val="clear" w:color="auto" w:fill="auto"/>
            <w:vAlign w:val="bottom"/>
            <w:hideMark/>
          </w:tcPr>
          <w:p w:rsidR="00D41435" w:rsidRPr="00DC0087" w:rsidRDefault="00D41435" w:rsidP="002C72C1">
            <w:pPr>
              <w:spacing w:after="0" w:line="240" w:lineRule="auto"/>
              <w:jc w:val="center"/>
              <w:rPr>
                <w:rFonts w:eastAsia="Times New Roman" w:cs="Times New Roman"/>
                <w:b/>
                <w:bCs/>
                <w:sz w:val="20"/>
                <w:szCs w:val="20"/>
              </w:rPr>
            </w:pPr>
            <w:r w:rsidRPr="00DC0087">
              <w:rPr>
                <w:rFonts w:eastAsia="Times New Roman" w:cs="Times New Roman"/>
                <w:b/>
                <w:bCs/>
                <w:sz w:val="20"/>
                <w:szCs w:val="20"/>
              </w:rPr>
              <w:t>Nov. 2015</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USDA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6,258</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170</w:t>
            </w:r>
          </w:p>
        </w:tc>
        <w:tc>
          <w:tcPr>
            <w:tcW w:w="720" w:type="dxa"/>
            <w:shd w:val="clear" w:color="auto" w:fill="C00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2.7%</w:t>
            </w:r>
          </w:p>
        </w:tc>
        <w:tc>
          <w:tcPr>
            <w:tcW w:w="720" w:type="dxa"/>
            <w:shd w:val="clear" w:color="auto" w:fill="FFC000"/>
          </w:tcPr>
          <w:p w:rsidR="00DC0087" w:rsidRPr="00DC0087" w:rsidRDefault="00DC0087" w:rsidP="002C72C1">
            <w:pPr>
              <w:spacing w:after="0" w:line="240" w:lineRule="auto"/>
              <w:rPr>
                <w:sz w:val="20"/>
                <w:szCs w:val="20"/>
              </w:rPr>
            </w:pPr>
            <w:r w:rsidRPr="00DC0087">
              <w:rPr>
                <w:sz w:val="20"/>
                <w:szCs w:val="20"/>
              </w:rPr>
              <w:t>1.9%</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1.3%</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1.3%</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0.4%</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0.7%</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0.6%</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DOC</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8,207</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1,897</w:t>
            </w:r>
          </w:p>
        </w:tc>
        <w:tc>
          <w:tcPr>
            <w:tcW w:w="720" w:type="dxa"/>
            <w:shd w:val="clear" w:color="auto" w:fill="0070C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23.1%</w:t>
            </w:r>
          </w:p>
        </w:tc>
        <w:tc>
          <w:tcPr>
            <w:tcW w:w="720" w:type="dxa"/>
            <w:shd w:val="clear" w:color="auto" w:fill="0070C0"/>
          </w:tcPr>
          <w:p w:rsidR="00DC0087" w:rsidRPr="00DC0087" w:rsidRDefault="00DC0087" w:rsidP="002C72C1">
            <w:pPr>
              <w:spacing w:after="0" w:line="240" w:lineRule="auto"/>
              <w:rPr>
                <w:sz w:val="20"/>
                <w:szCs w:val="20"/>
              </w:rPr>
            </w:pPr>
            <w:r w:rsidRPr="00DC0087">
              <w:rPr>
                <w:sz w:val="20"/>
                <w:szCs w:val="20"/>
              </w:rPr>
              <w:t>23.1%</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18.7%</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18.7%</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10.0%</w:t>
            </w:r>
          </w:p>
        </w:tc>
        <w:tc>
          <w:tcPr>
            <w:tcW w:w="630" w:type="dxa"/>
            <w:shd w:val="clear" w:color="auto" w:fill="FFC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4.8%</w:t>
            </w:r>
          </w:p>
        </w:tc>
        <w:tc>
          <w:tcPr>
            <w:tcW w:w="637" w:type="dxa"/>
            <w:shd w:val="clear" w:color="auto" w:fill="92D05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4.8%</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DOD</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105,500</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905</w:t>
            </w:r>
          </w:p>
        </w:tc>
        <w:tc>
          <w:tcPr>
            <w:tcW w:w="720" w:type="dxa"/>
            <w:shd w:val="clear" w:color="auto" w:fill="C00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0.9%</w:t>
            </w:r>
          </w:p>
        </w:tc>
        <w:tc>
          <w:tcPr>
            <w:tcW w:w="720" w:type="dxa"/>
            <w:shd w:val="clear" w:color="auto" w:fill="C00000"/>
          </w:tcPr>
          <w:p w:rsidR="00DC0087" w:rsidRPr="00DC0087" w:rsidRDefault="00DC0087" w:rsidP="002C72C1">
            <w:pPr>
              <w:spacing w:after="0" w:line="240" w:lineRule="auto"/>
              <w:rPr>
                <w:sz w:val="20"/>
                <w:szCs w:val="20"/>
              </w:rPr>
            </w:pPr>
            <w:r w:rsidRPr="00DC0087">
              <w:rPr>
                <w:sz w:val="20"/>
                <w:szCs w:val="20"/>
              </w:rPr>
              <w:t>0.9%</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0.3%</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0.3%</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0.3%</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0.7%</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0.4%</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Ed.</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2,096</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88</w:t>
            </w:r>
          </w:p>
        </w:tc>
        <w:tc>
          <w:tcPr>
            <w:tcW w:w="720" w:type="dxa"/>
            <w:shd w:val="clear" w:color="auto" w:fill="FFC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4.2%</w:t>
            </w:r>
          </w:p>
        </w:tc>
        <w:tc>
          <w:tcPr>
            <w:tcW w:w="720" w:type="dxa"/>
            <w:shd w:val="clear" w:color="auto" w:fill="FFC000"/>
          </w:tcPr>
          <w:p w:rsidR="00DC0087" w:rsidRPr="00DC0087" w:rsidRDefault="00DC0087" w:rsidP="002C72C1">
            <w:pPr>
              <w:spacing w:after="0" w:line="240" w:lineRule="auto"/>
              <w:rPr>
                <w:sz w:val="20"/>
                <w:szCs w:val="20"/>
              </w:rPr>
            </w:pPr>
            <w:r w:rsidRPr="00DC0087">
              <w:rPr>
                <w:sz w:val="20"/>
                <w:szCs w:val="20"/>
              </w:rPr>
              <w:t>3.2%</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1.3%</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1.3%</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0.9%</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0.9%</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0.7%</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Energy</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6,034</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324</w:t>
            </w:r>
          </w:p>
        </w:tc>
        <w:tc>
          <w:tcPr>
            <w:tcW w:w="720" w:type="dxa"/>
            <w:shd w:val="clear" w:color="auto" w:fill="FFFF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5.4%</w:t>
            </w:r>
          </w:p>
        </w:tc>
        <w:tc>
          <w:tcPr>
            <w:tcW w:w="720" w:type="dxa"/>
            <w:shd w:val="clear" w:color="auto" w:fill="FFC000"/>
          </w:tcPr>
          <w:p w:rsidR="00DC0087" w:rsidRPr="00DC0087" w:rsidRDefault="00DC0087" w:rsidP="002C72C1">
            <w:pPr>
              <w:spacing w:after="0" w:line="240" w:lineRule="auto"/>
              <w:rPr>
                <w:sz w:val="20"/>
                <w:szCs w:val="20"/>
              </w:rPr>
            </w:pPr>
            <w:r w:rsidRPr="00DC0087">
              <w:rPr>
                <w:sz w:val="20"/>
                <w:szCs w:val="20"/>
              </w:rPr>
              <w:t>2.6%</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1.2%</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0.7%</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0.8%</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0.6%</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0.3%</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HHS</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17,041</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4,439</w:t>
            </w:r>
          </w:p>
        </w:tc>
        <w:tc>
          <w:tcPr>
            <w:tcW w:w="720" w:type="dxa"/>
            <w:shd w:val="clear" w:color="auto" w:fill="0070C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26.0%</w:t>
            </w:r>
          </w:p>
        </w:tc>
        <w:tc>
          <w:tcPr>
            <w:tcW w:w="720" w:type="dxa"/>
            <w:shd w:val="clear" w:color="auto" w:fill="0070C0"/>
          </w:tcPr>
          <w:p w:rsidR="00DC0087" w:rsidRPr="00DC0087" w:rsidRDefault="00DC0087" w:rsidP="002C72C1">
            <w:pPr>
              <w:spacing w:after="0" w:line="240" w:lineRule="auto"/>
              <w:rPr>
                <w:sz w:val="20"/>
                <w:szCs w:val="20"/>
              </w:rPr>
            </w:pPr>
            <w:r w:rsidRPr="00DC0087">
              <w:rPr>
                <w:sz w:val="20"/>
                <w:szCs w:val="20"/>
              </w:rPr>
              <w:t>25.3%</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0.4%</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0.2%</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0.2%</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0.2%</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DHS</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20,227</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1,633</w:t>
            </w:r>
          </w:p>
        </w:tc>
        <w:tc>
          <w:tcPr>
            <w:tcW w:w="720" w:type="dxa"/>
            <w:shd w:val="clear" w:color="auto" w:fill="92D05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8.1%</w:t>
            </w:r>
          </w:p>
        </w:tc>
        <w:tc>
          <w:tcPr>
            <w:tcW w:w="720" w:type="dxa"/>
            <w:shd w:val="clear" w:color="auto" w:fill="92D050"/>
          </w:tcPr>
          <w:p w:rsidR="00DC0087" w:rsidRPr="00DC0087" w:rsidRDefault="00DC0087" w:rsidP="002C72C1">
            <w:pPr>
              <w:spacing w:after="0" w:line="240" w:lineRule="auto"/>
              <w:rPr>
                <w:sz w:val="20"/>
                <w:szCs w:val="20"/>
              </w:rPr>
            </w:pPr>
            <w:r w:rsidRPr="00DC0087">
              <w:rPr>
                <w:sz w:val="20"/>
                <w:szCs w:val="20"/>
              </w:rPr>
              <w:t>7.6%</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7.3%</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6.2%</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6.8%</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4.1%</w:t>
            </w:r>
          </w:p>
        </w:tc>
        <w:tc>
          <w:tcPr>
            <w:tcW w:w="637"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4.2%</w:t>
            </w:r>
          </w:p>
        </w:tc>
      </w:tr>
      <w:tr w:rsidR="00DC0087" w:rsidRPr="00DC0087" w:rsidTr="00B73111">
        <w:trPr>
          <w:trHeight w:val="16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HUD</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1,045</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w:t>
            </w:r>
          </w:p>
        </w:tc>
        <w:tc>
          <w:tcPr>
            <w:tcW w:w="720" w:type="dxa"/>
            <w:shd w:val="clear" w:color="auto" w:fill="C00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0.5%</w:t>
            </w:r>
          </w:p>
        </w:tc>
        <w:tc>
          <w:tcPr>
            <w:tcW w:w="720" w:type="dxa"/>
            <w:shd w:val="clear" w:color="auto" w:fill="C00000"/>
          </w:tcPr>
          <w:p w:rsidR="00DC0087" w:rsidRPr="00DC0087" w:rsidRDefault="00DC0087" w:rsidP="002C72C1">
            <w:pPr>
              <w:spacing w:after="0" w:line="240" w:lineRule="auto"/>
              <w:rPr>
                <w:sz w:val="20"/>
                <w:szCs w:val="20"/>
              </w:rPr>
            </w:pPr>
            <w:r w:rsidRPr="00DC0087">
              <w:rPr>
                <w:sz w:val="20"/>
                <w:szCs w:val="20"/>
              </w:rPr>
              <w:t>0.5%</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0.5%</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0.6%</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0.5%</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0.5%</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0.1%</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DOI</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3,506</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266</w:t>
            </w:r>
          </w:p>
        </w:tc>
        <w:tc>
          <w:tcPr>
            <w:tcW w:w="720" w:type="dxa"/>
            <w:shd w:val="clear" w:color="auto" w:fill="FFFF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7.6%</w:t>
            </w:r>
          </w:p>
        </w:tc>
        <w:tc>
          <w:tcPr>
            <w:tcW w:w="720" w:type="dxa"/>
            <w:shd w:val="clear" w:color="auto" w:fill="92D050"/>
          </w:tcPr>
          <w:p w:rsidR="00DC0087" w:rsidRPr="00DC0087" w:rsidRDefault="00DC0087" w:rsidP="002C72C1">
            <w:pPr>
              <w:spacing w:after="0" w:line="240" w:lineRule="auto"/>
              <w:rPr>
                <w:sz w:val="20"/>
                <w:szCs w:val="20"/>
              </w:rPr>
            </w:pPr>
            <w:r w:rsidRPr="00DC0087">
              <w:rPr>
                <w:sz w:val="20"/>
                <w:szCs w:val="20"/>
              </w:rPr>
              <w:t>7.1%</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6.8%</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6.8%</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5.8%</w:t>
            </w:r>
          </w:p>
        </w:tc>
        <w:tc>
          <w:tcPr>
            <w:tcW w:w="630"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5.4%</w:t>
            </w:r>
          </w:p>
        </w:tc>
        <w:tc>
          <w:tcPr>
            <w:tcW w:w="637" w:type="dxa"/>
            <w:shd w:val="clear" w:color="auto" w:fill="92D05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4.8%</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DOJ</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8,381</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537</w:t>
            </w:r>
          </w:p>
        </w:tc>
        <w:tc>
          <w:tcPr>
            <w:tcW w:w="720" w:type="dxa"/>
            <w:shd w:val="clear" w:color="auto" w:fill="FFFF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6.4%</w:t>
            </w:r>
          </w:p>
        </w:tc>
        <w:tc>
          <w:tcPr>
            <w:tcW w:w="720" w:type="dxa"/>
            <w:shd w:val="clear" w:color="auto" w:fill="FFFF00"/>
          </w:tcPr>
          <w:p w:rsidR="00DC0087" w:rsidRPr="00DC0087" w:rsidRDefault="00DC0087" w:rsidP="002C72C1">
            <w:pPr>
              <w:spacing w:after="0" w:line="240" w:lineRule="auto"/>
              <w:rPr>
                <w:sz w:val="20"/>
                <w:szCs w:val="20"/>
              </w:rPr>
            </w:pPr>
            <w:r w:rsidRPr="00DC0087">
              <w:rPr>
                <w:sz w:val="20"/>
                <w:szCs w:val="20"/>
              </w:rPr>
              <w:t>5.7%</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5.2%</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5.1%</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3.7%</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3.2%</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2.4%</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DOL</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2,127</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236</w:t>
            </w:r>
          </w:p>
        </w:tc>
        <w:tc>
          <w:tcPr>
            <w:tcW w:w="720" w:type="dxa"/>
            <w:shd w:val="clear" w:color="auto" w:fill="92D05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11.1%</w:t>
            </w:r>
          </w:p>
        </w:tc>
        <w:tc>
          <w:tcPr>
            <w:tcW w:w="720" w:type="dxa"/>
            <w:shd w:val="clear" w:color="auto" w:fill="FFFF00"/>
          </w:tcPr>
          <w:p w:rsidR="00DC0087" w:rsidRPr="00DC0087" w:rsidRDefault="00DC0087" w:rsidP="002C72C1">
            <w:pPr>
              <w:spacing w:after="0" w:line="240" w:lineRule="auto"/>
              <w:rPr>
                <w:sz w:val="20"/>
                <w:szCs w:val="20"/>
              </w:rPr>
            </w:pPr>
            <w:r w:rsidRPr="00DC0087">
              <w:rPr>
                <w:sz w:val="20"/>
                <w:szCs w:val="20"/>
              </w:rPr>
              <w:t>6.2%</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1.6%</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0.4%</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0.2%</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0.2%</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0.1%</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State</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6,948</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433</w:t>
            </w:r>
          </w:p>
        </w:tc>
        <w:tc>
          <w:tcPr>
            <w:tcW w:w="720" w:type="dxa"/>
            <w:shd w:val="clear" w:color="auto" w:fill="FFFF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6.2%</w:t>
            </w:r>
          </w:p>
        </w:tc>
        <w:tc>
          <w:tcPr>
            <w:tcW w:w="720" w:type="dxa"/>
            <w:shd w:val="clear" w:color="auto" w:fill="FFC000"/>
          </w:tcPr>
          <w:p w:rsidR="00DC0087" w:rsidRPr="00DC0087" w:rsidRDefault="00DC0087" w:rsidP="002C72C1">
            <w:pPr>
              <w:spacing w:after="0" w:line="240" w:lineRule="auto"/>
              <w:rPr>
                <w:sz w:val="20"/>
                <w:szCs w:val="20"/>
              </w:rPr>
            </w:pPr>
            <w:r w:rsidRPr="00DC0087">
              <w:rPr>
                <w:sz w:val="20"/>
                <w:szCs w:val="20"/>
              </w:rPr>
              <w:t>3.0%</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3.7%</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0.0%</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1.4%</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DOT</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9,209</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361</w:t>
            </w:r>
          </w:p>
        </w:tc>
        <w:tc>
          <w:tcPr>
            <w:tcW w:w="720" w:type="dxa"/>
            <w:shd w:val="clear" w:color="auto" w:fill="FFC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3.9%</w:t>
            </w:r>
          </w:p>
        </w:tc>
        <w:tc>
          <w:tcPr>
            <w:tcW w:w="720" w:type="dxa"/>
            <w:shd w:val="clear" w:color="auto" w:fill="FFFF00"/>
          </w:tcPr>
          <w:p w:rsidR="00DC0087" w:rsidRPr="00DC0087" w:rsidRDefault="00DC0087" w:rsidP="002C72C1">
            <w:pPr>
              <w:spacing w:after="0" w:line="240" w:lineRule="auto"/>
              <w:rPr>
                <w:sz w:val="20"/>
                <w:szCs w:val="20"/>
              </w:rPr>
            </w:pPr>
            <w:r w:rsidRPr="00DC0087">
              <w:rPr>
                <w:sz w:val="20"/>
                <w:szCs w:val="20"/>
              </w:rPr>
              <w:t>3.9%</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2.6%</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2.6%</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0.1%</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0.5%</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0.5%</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Treas.</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13,410</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1,593</w:t>
            </w:r>
          </w:p>
        </w:tc>
        <w:tc>
          <w:tcPr>
            <w:tcW w:w="720" w:type="dxa"/>
            <w:shd w:val="clear" w:color="auto" w:fill="0070C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11.9%</w:t>
            </w:r>
          </w:p>
        </w:tc>
        <w:tc>
          <w:tcPr>
            <w:tcW w:w="720" w:type="dxa"/>
            <w:shd w:val="clear" w:color="auto" w:fill="0070C0"/>
          </w:tcPr>
          <w:p w:rsidR="00DC0087" w:rsidRPr="00DC0087" w:rsidRDefault="00DC0087" w:rsidP="002C72C1">
            <w:pPr>
              <w:spacing w:after="0" w:line="240" w:lineRule="auto"/>
              <w:rPr>
                <w:sz w:val="20"/>
                <w:szCs w:val="20"/>
              </w:rPr>
            </w:pPr>
            <w:r w:rsidRPr="00DC0087">
              <w:rPr>
                <w:sz w:val="20"/>
                <w:szCs w:val="20"/>
              </w:rPr>
              <w:t>11.9%</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12.0%</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6.0%</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5.3%</w:t>
            </w:r>
          </w:p>
        </w:tc>
        <w:tc>
          <w:tcPr>
            <w:tcW w:w="630"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5.3%</w:t>
            </w:r>
          </w:p>
        </w:tc>
        <w:tc>
          <w:tcPr>
            <w:tcW w:w="637" w:type="dxa"/>
            <w:shd w:val="clear" w:color="auto" w:fill="92D05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4.9%</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VA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14,339</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632</w:t>
            </w:r>
          </w:p>
        </w:tc>
        <w:tc>
          <w:tcPr>
            <w:tcW w:w="720" w:type="dxa"/>
            <w:shd w:val="clear" w:color="auto" w:fill="FFFF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4.4%</w:t>
            </w:r>
          </w:p>
        </w:tc>
        <w:tc>
          <w:tcPr>
            <w:tcW w:w="720" w:type="dxa"/>
            <w:shd w:val="clear" w:color="auto" w:fill="FFFF00"/>
          </w:tcPr>
          <w:p w:rsidR="00DC0087" w:rsidRPr="00DC0087" w:rsidRDefault="00DC0087" w:rsidP="002C72C1">
            <w:pPr>
              <w:spacing w:after="0" w:line="240" w:lineRule="auto"/>
              <w:rPr>
                <w:sz w:val="20"/>
                <w:szCs w:val="20"/>
              </w:rPr>
            </w:pPr>
            <w:r w:rsidRPr="00DC0087">
              <w:rPr>
                <w:sz w:val="20"/>
                <w:szCs w:val="20"/>
              </w:rPr>
              <w:t>4.2%</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4.5%</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4.3%</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2.5%</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1.6%</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1.1%</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EPA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1,143</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39</w:t>
            </w:r>
          </w:p>
        </w:tc>
        <w:tc>
          <w:tcPr>
            <w:tcW w:w="720" w:type="dxa"/>
            <w:shd w:val="clear" w:color="auto" w:fill="FFC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3.4%</w:t>
            </w:r>
          </w:p>
        </w:tc>
        <w:tc>
          <w:tcPr>
            <w:tcW w:w="720" w:type="dxa"/>
            <w:shd w:val="clear" w:color="auto" w:fill="FFFF00"/>
          </w:tcPr>
          <w:p w:rsidR="00DC0087" w:rsidRPr="00DC0087" w:rsidRDefault="00DC0087" w:rsidP="002C72C1">
            <w:pPr>
              <w:spacing w:after="0" w:line="240" w:lineRule="auto"/>
              <w:rPr>
                <w:sz w:val="20"/>
                <w:szCs w:val="20"/>
              </w:rPr>
            </w:pPr>
            <w:r w:rsidRPr="00DC0087">
              <w:rPr>
                <w:sz w:val="20"/>
                <w:szCs w:val="20"/>
              </w:rPr>
              <w:t>3.5%</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3.4%</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3.3%</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3.0%</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3.0%</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2.7%</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GSA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2,097</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184</w:t>
            </w:r>
          </w:p>
        </w:tc>
        <w:tc>
          <w:tcPr>
            <w:tcW w:w="720" w:type="dxa"/>
            <w:shd w:val="clear" w:color="auto" w:fill="92D05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8.8%</w:t>
            </w:r>
          </w:p>
        </w:tc>
        <w:tc>
          <w:tcPr>
            <w:tcW w:w="720" w:type="dxa"/>
            <w:shd w:val="clear" w:color="auto" w:fill="92D050"/>
          </w:tcPr>
          <w:p w:rsidR="00DC0087" w:rsidRPr="00DC0087" w:rsidRDefault="00DC0087" w:rsidP="002C72C1">
            <w:pPr>
              <w:spacing w:after="0" w:line="240" w:lineRule="auto"/>
              <w:rPr>
                <w:sz w:val="20"/>
                <w:szCs w:val="20"/>
              </w:rPr>
            </w:pPr>
            <w:r w:rsidRPr="00DC0087">
              <w:rPr>
                <w:sz w:val="20"/>
                <w:szCs w:val="20"/>
              </w:rPr>
              <w:t>8.9%</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8.4%</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7.7%</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5.4%</w:t>
            </w:r>
          </w:p>
        </w:tc>
        <w:tc>
          <w:tcPr>
            <w:tcW w:w="630"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5.4%</w:t>
            </w:r>
          </w:p>
        </w:tc>
        <w:tc>
          <w:tcPr>
            <w:tcW w:w="637"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4.0%</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NASA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4,901</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775</w:t>
            </w:r>
          </w:p>
        </w:tc>
        <w:tc>
          <w:tcPr>
            <w:tcW w:w="720" w:type="dxa"/>
            <w:shd w:val="clear" w:color="auto" w:fill="0070C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15.8%</w:t>
            </w:r>
          </w:p>
        </w:tc>
        <w:tc>
          <w:tcPr>
            <w:tcW w:w="720" w:type="dxa"/>
            <w:shd w:val="clear" w:color="auto" w:fill="0070C0"/>
          </w:tcPr>
          <w:p w:rsidR="00DC0087" w:rsidRPr="00DC0087" w:rsidRDefault="00DC0087" w:rsidP="002C72C1">
            <w:pPr>
              <w:spacing w:after="0" w:line="240" w:lineRule="auto"/>
              <w:rPr>
                <w:sz w:val="20"/>
                <w:szCs w:val="20"/>
              </w:rPr>
            </w:pPr>
            <w:r w:rsidRPr="00DC0087">
              <w:rPr>
                <w:sz w:val="20"/>
                <w:szCs w:val="20"/>
              </w:rPr>
              <w:t>14.3%</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9.9%</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8.1%</w:t>
            </w:r>
          </w:p>
        </w:tc>
        <w:tc>
          <w:tcPr>
            <w:tcW w:w="720" w:type="dxa"/>
            <w:shd w:val="clear" w:color="auto" w:fill="92D05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4.5%</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3.2%</w:t>
            </w:r>
          </w:p>
        </w:tc>
        <w:tc>
          <w:tcPr>
            <w:tcW w:w="637" w:type="dxa"/>
            <w:shd w:val="clear" w:color="auto" w:fill="FFC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3.6%</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NSF</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340</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33</w:t>
            </w:r>
          </w:p>
        </w:tc>
        <w:tc>
          <w:tcPr>
            <w:tcW w:w="720" w:type="dxa"/>
            <w:shd w:val="clear" w:color="auto" w:fill="92D05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9.8%</w:t>
            </w:r>
          </w:p>
        </w:tc>
        <w:tc>
          <w:tcPr>
            <w:tcW w:w="720" w:type="dxa"/>
            <w:shd w:val="clear" w:color="auto" w:fill="92D050"/>
          </w:tcPr>
          <w:p w:rsidR="00DC0087" w:rsidRPr="00DC0087" w:rsidRDefault="00DC0087" w:rsidP="002C72C1">
            <w:pPr>
              <w:spacing w:after="0" w:line="240" w:lineRule="auto"/>
              <w:rPr>
                <w:sz w:val="20"/>
                <w:szCs w:val="20"/>
              </w:rPr>
            </w:pPr>
            <w:r w:rsidRPr="00DC0087">
              <w:rPr>
                <w:sz w:val="20"/>
                <w:szCs w:val="20"/>
              </w:rPr>
              <w:t>9.0%</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2.7%</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2.7%</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2.3%</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2.3%</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1.7%</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NRC</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456</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14</w:t>
            </w:r>
          </w:p>
        </w:tc>
        <w:tc>
          <w:tcPr>
            <w:tcW w:w="720" w:type="dxa"/>
            <w:shd w:val="clear" w:color="auto" w:fill="FFC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3.2%</w:t>
            </w:r>
          </w:p>
        </w:tc>
        <w:tc>
          <w:tcPr>
            <w:tcW w:w="720" w:type="dxa"/>
            <w:shd w:val="clear" w:color="auto" w:fill="C00000"/>
          </w:tcPr>
          <w:p w:rsidR="00DC0087" w:rsidRPr="00DC0087" w:rsidRDefault="00DC0087" w:rsidP="002C72C1">
            <w:pPr>
              <w:spacing w:after="0" w:line="240" w:lineRule="auto"/>
              <w:rPr>
                <w:sz w:val="20"/>
                <w:szCs w:val="20"/>
              </w:rPr>
            </w:pPr>
            <w:r w:rsidRPr="00DC0087">
              <w:rPr>
                <w:sz w:val="20"/>
                <w:szCs w:val="20"/>
              </w:rPr>
              <w:t>1.6%</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1.6%</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0.1%</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0.1%</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2.5%</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OPM</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433</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w:t>
            </w:r>
          </w:p>
        </w:tc>
        <w:tc>
          <w:tcPr>
            <w:tcW w:w="720" w:type="dxa"/>
            <w:shd w:val="clear" w:color="auto" w:fill="C00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1.1%</w:t>
            </w:r>
          </w:p>
        </w:tc>
        <w:tc>
          <w:tcPr>
            <w:tcW w:w="720" w:type="dxa"/>
            <w:shd w:val="clear" w:color="auto" w:fill="C00000"/>
          </w:tcPr>
          <w:p w:rsidR="00DC0087" w:rsidRPr="00DC0087" w:rsidRDefault="00DC0087" w:rsidP="002C72C1">
            <w:pPr>
              <w:spacing w:after="0" w:line="240" w:lineRule="auto"/>
              <w:rPr>
                <w:sz w:val="20"/>
                <w:szCs w:val="20"/>
              </w:rPr>
            </w:pPr>
            <w:r w:rsidRPr="00DC0087">
              <w:rPr>
                <w:sz w:val="20"/>
                <w:szCs w:val="20"/>
              </w:rPr>
              <w:t>1.1%</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720" w:type="dxa"/>
            <w:shd w:val="clear" w:color="auto" w:fill="C00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0.0%</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0.0%</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0.0%</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SBA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297</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11</w:t>
            </w:r>
          </w:p>
        </w:tc>
        <w:tc>
          <w:tcPr>
            <w:tcW w:w="720" w:type="dxa"/>
            <w:shd w:val="clear" w:color="auto" w:fill="FFC00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3.7%</w:t>
            </w:r>
          </w:p>
        </w:tc>
        <w:tc>
          <w:tcPr>
            <w:tcW w:w="720" w:type="dxa"/>
            <w:shd w:val="clear" w:color="auto" w:fill="FFC000"/>
          </w:tcPr>
          <w:p w:rsidR="00DC0087" w:rsidRPr="00DC0087" w:rsidRDefault="00DC0087" w:rsidP="002C72C1">
            <w:pPr>
              <w:spacing w:after="0" w:line="240" w:lineRule="auto"/>
              <w:rPr>
                <w:sz w:val="20"/>
                <w:szCs w:val="20"/>
              </w:rPr>
            </w:pPr>
            <w:r w:rsidRPr="00DC0087">
              <w:rPr>
                <w:sz w:val="20"/>
                <w:szCs w:val="20"/>
              </w:rPr>
              <w:t>3.4%</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2.9%</w:t>
            </w:r>
          </w:p>
        </w:tc>
        <w:tc>
          <w:tcPr>
            <w:tcW w:w="720" w:type="dxa"/>
            <w:shd w:val="clear" w:color="auto" w:fill="FFC0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1.0%</w:t>
            </w:r>
          </w:p>
        </w:tc>
        <w:tc>
          <w:tcPr>
            <w:tcW w:w="720" w:type="dxa"/>
            <w:shd w:val="clear" w:color="auto" w:fill="FFFF0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1.0%</w:t>
            </w:r>
          </w:p>
        </w:tc>
        <w:tc>
          <w:tcPr>
            <w:tcW w:w="630"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1.0%</w:t>
            </w:r>
          </w:p>
        </w:tc>
        <w:tc>
          <w:tcPr>
            <w:tcW w:w="637" w:type="dxa"/>
            <w:shd w:val="clear" w:color="auto" w:fill="C000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1.0%</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SSA</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5,109</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551</w:t>
            </w:r>
          </w:p>
        </w:tc>
        <w:tc>
          <w:tcPr>
            <w:tcW w:w="720" w:type="dxa"/>
            <w:shd w:val="clear" w:color="auto" w:fill="92D05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10.8%</w:t>
            </w:r>
          </w:p>
        </w:tc>
        <w:tc>
          <w:tcPr>
            <w:tcW w:w="720" w:type="dxa"/>
            <w:shd w:val="clear" w:color="auto" w:fill="92D050"/>
          </w:tcPr>
          <w:p w:rsidR="00DC0087" w:rsidRPr="00DC0087" w:rsidRDefault="00DC0087" w:rsidP="002C72C1">
            <w:pPr>
              <w:spacing w:after="0" w:line="240" w:lineRule="auto"/>
              <w:rPr>
                <w:sz w:val="20"/>
                <w:szCs w:val="20"/>
              </w:rPr>
            </w:pPr>
            <w:r w:rsidRPr="00DC0087">
              <w:rPr>
                <w:sz w:val="20"/>
                <w:szCs w:val="20"/>
              </w:rPr>
              <w:t>10.2%</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9.4%</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9.2%</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7.3%</w:t>
            </w:r>
          </w:p>
        </w:tc>
        <w:tc>
          <w:tcPr>
            <w:tcW w:w="630" w:type="dxa"/>
            <w:shd w:val="clear" w:color="auto" w:fill="0070C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7.2%</w:t>
            </w:r>
          </w:p>
        </w:tc>
        <w:tc>
          <w:tcPr>
            <w:tcW w:w="637" w:type="dxa"/>
            <w:shd w:val="clear" w:color="auto" w:fill="0070C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5.7%</w:t>
            </w:r>
          </w:p>
        </w:tc>
      </w:tr>
      <w:tr w:rsidR="00DC0087" w:rsidRPr="00DC0087" w:rsidTr="00B73111">
        <w:trPr>
          <w:trHeight w:val="173"/>
        </w:trPr>
        <w:tc>
          <w:tcPr>
            <w:tcW w:w="882" w:type="dxa"/>
            <w:shd w:val="clear" w:color="auto" w:fill="auto"/>
            <w:noWrap/>
            <w:vAlign w:val="bottom"/>
            <w:hideMark/>
          </w:tcPr>
          <w:p w:rsidR="00DC0087" w:rsidRPr="00DC0087" w:rsidRDefault="00DC0087" w:rsidP="002C72C1">
            <w:pPr>
              <w:spacing w:after="0" w:line="240" w:lineRule="auto"/>
              <w:rPr>
                <w:rFonts w:eastAsia="Times New Roman" w:cs="Times New Roman"/>
                <w:sz w:val="20"/>
                <w:szCs w:val="20"/>
              </w:rPr>
            </w:pPr>
            <w:r w:rsidRPr="00DC0087">
              <w:rPr>
                <w:rFonts w:eastAsia="Times New Roman" w:cs="Times New Roman"/>
                <w:sz w:val="20"/>
                <w:szCs w:val="20"/>
              </w:rPr>
              <w:t>USAID</w:t>
            </w:r>
          </w:p>
        </w:tc>
        <w:tc>
          <w:tcPr>
            <w:tcW w:w="954"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515</w:t>
            </w:r>
          </w:p>
        </w:tc>
        <w:tc>
          <w:tcPr>
            <w:tcW w:w="865" w:type="dxa"/>
            <w:shd w:val="clear" w:color="auto" w:fill="auto"/>
            <w:noWrap/>
          </w:tcPr>
          <w:p w:rsidR="00DC0087" w:rsidRPr="00DC0087" w:rsidRDefault="00DC0087" w:rsidP="002C72C1">
            <w:pPr>
              <w:autoSpaceDE w:val="0"/>
              <w:autoSpaceDN w:val="0"/>
              <w:adjustRightInd w:val="0"/>
              <w:spacing w:after="0" w:line="240" w:lineRule="auto"/>
              <w:jc w:val="right"/>
              <w:rPr>
                <w:rFonts w:cs="Calibri"/>
                <w:sz w:val="20"/>
                <w:szCs w:val="20"/>
              </w:rPr>
            </w:pPr>
            <w:r w:rsidRPr="00DC0087">
              <w:rPr>
                <w:rFonts w:cs="Calibri"/>
                <w:sz w:val="20"/>
                <w:szCs w:val="20"/>
              </w:rPr>
              <w:t>80</w:t>
            </w:r>
          </w:p>
        </w:tc>
        <w:tc>
          <w:tcPr>
            <w:tcW w:w="720" w:type="dxa"/>
            <w:shd w:val="clear" w:color="auto" w:fill="0070C0"/>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15.6%</w:t>
            </w:r>
          </w:p>
        </w:tc>
        <w:tc>
          <w:tcPr>
            <w:tcW w:w="720" w:type="dxa"/>
            <w:shd w:val="clear" w:color="auto" w:fill="0070C0"/>
          </w:tcPr>
          <w:p w:rsidR="00DC0087" w:rsidRPr="00DC0087" w:rsidRDefault="00DC0087" w:rsidP="002C72C1">
            <w:pPr>
              <w:spacing w:after="0" w:line="240" w:lineRule="auto"/>
              <w:rPr>
                <w:sz w:val="20"/>
                <w:szCs w:val="20"/>
              </w:rPr>
            </w:pPr>
            <w:r w:rsidRPr="00DC0087">
              <w:rPr>
                <w:sz w:val="20"/>
                <w:szCs w:val="20"/>
              </w:rPr>
              <w:t>12.7%</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15.4%</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15.4%</w:t>
            </w:r>
          </w:p>
        </w:tc>
        <w:tc>
          <w:tcPr>
            <w:tcW w:w="720" w:type="dxa"/>
            <w:shd w:val="clear" w:color="auto" w:fill="0070C0"/>
            <w:vAlign w:val="bottom"/>
          </w:tcPr>
          <w:p w:rsidR="00DC0087" w:rsidRPr="00DC0087" w:rsidRDefault="00DC0087" w:rsidP="002C72C1">
            <w:pPr>
              <w:autoSpaceDE w:val="0"/>
              <w:autoSpaceDN w:val="0"/>
              <w:adjustRightInd w:val="0"/>
              <w:spacing w:after="0" w:line="240" w:lineRule="auto"/>
              <w:jc w:val="center"/>
              <w:rPr>
                <w:rFonts w:cs="Calibri"/>
                <w:sz w:val="20"/>
                <w:szCs w:val="20"/>
              </w:rPr>
            </w:pPr>
            <w:r w:rsidRPr="00DC0087">
              <w:rPr>
                <w:rFonts w:cs="Calibri"/>
                <w:sz w:val="20"/>
                <w:szCs w:val="20"/>
              </w:rPr>
              <w:t>6.3%</w:t>
            </w:r>
          </w:p>
        </w:tc>
        <w:tc>
          <w:tcPr>
            <w:tcW w:w="630" w:type="dxa"/>
            <w:shd w:val="clear" w:color="auto" w:fill="92D05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6.0%</w:t>
            </w:r>
          </w:p>
        </w:tc>
        <w:tc>
          <w:tcPr>
            <w:tcW w:w="637" w:type="dxa"/>
            <w:shd w:val="clear" w:color="auto" w:fill="FFFF00"/>
            <w:noWrap/>
            <w:vAlign w:val="bottom"/>
            <w:hideMark/>
          </w:tcPr>
          <w:p w:rsidR="00DC0087" w:rsidRPr="00DC0087" w:rsidRDefault="00DC0087" w:rsidP="002C72C1">
            <w:pPr>
              <w:spacing w:after="0" w:line="240" w:lineRule="auto"/>
              <w:jc w:val="center"/>
              <w:rPr>
                <w:rFonts w:eastAsia="Times New Roman" w:cs="Times New Roman"/>
                <w:sz w:val="20"/>
                <w:szCs w:val="20"/>
              </w:rPr>
            </w:pPr>
            <w:r w:rsidRPr="00DC0087">
              <w:rPr>
                <w:rFonts w:eastAsia="Times New Roman" w:cs="Times New Roman"/>
                <w:sz w:val="20"/>
                <w:szCs w:val="20"/>
              </w:rPr>
              <w:t>4.3%</w:t>
            </w:r>
          </w:p>
        </w:tc>
      </w:tr>
    </w:tbl>
    <w:p w:rsidR="0042136A" w:rsidRPr="008B2287" w:rsidRDefault="008C7694" w:rsidP="002C72C1">
      <w:pPr>
        <w:pStyle w:val="BodyText"/>
        <w:spacing w:line="240" w:lineRule="auto"/>
      </w:pPr>
      <w:r w:rsidRPr="008B2287">
        <w:rPr>
          <w:rStyle w:val="Heading3Char"/>
          <w:rFonts w:asciiTheme="minorHAnsi" w:hAnsiTheme="minorHAnsi"/>
        </w:rPr>
        <w:t>Why it’s important</w:t>
      </w:r>
      <w:r w:rsidR="0042136A" w:rsidRPr="008B2287">
        <w:t>:</w:t>
      </w:r>
      <w:r w:rsidR="0042136A" w:rsidRPr="008B2287">
        <w:rPr>
          <w:b/>
        </w:rPr>
        <w:t xml:space="preserve"> </w:t>
      </w:r>
      <w:r w:rsidR="0042136A" w:rsidRPr="008B2287">
        <w:t>To better manage existing IT systems, OMB launched the PortfolioStat initiative, which requires agencies to conduct an annual, agency-wide IT portfolio review to, among other things, reduce commodity IT spending and demonstrate how their IT investments align with the agency’s mission and business functions.</w:t>
      </w:r>
    </w:p>
    <w:p w:rsidR="0042136A" w:rsidRPr="008B2287" w:rsidRDefault="0042136A" w:rsidP="002C72C1">
      <w:pPr>
        <w:pStyle w:val="BodyText"/>
        <w:spacing w:line="240" w:lineRule="auto"/>
      </w:pPr>
      <w:r w:rsidRPr="002C3669">
        <w:rPr>
          <w:rStyle w:val="Heading3Char"/>
          <w:rFonts w:asciiTheme="minorHAnsi" w:hAnsiTheme="minorHAnsi"/>
        </w:rPr>
        <w:t>Calculation</w:t>
      </w:r>
      <w:r w:rsidRPr="002C3669">
        <w:t xml:space="preserve">: </w:t>
      </w:r>
      <w:r w:rsidR="005C4065" w:rsidRPr="002C3669">
        <w:t xml:space="preserve">Each agency’s </w:t>
      </w:r>
      <w:r w:rsidR="00542C58" w:rsidRPr="002C3669">
        <w:t xml:space="preserve">total </w:t>
      </w:r>
      <w:r w:rsidR="005C4065" w:rsidRPr="002C3669">
        <w:t xml:space="preserve">PortfolioStat </w:t>
      </w:r>
      <w:r w:rsidR="00D41435">
        <w:t xml:space="preserve">cost </w:t>
      </w:r>
      <w:r w:rsidRPr="002C3669">
        <w:t>savings</w:t>
      </w:r>
      <w:r w:rsidR="00D41435">
        <w:t xml:space="preserve"> and avoidances are</w:t>
      </w:r>
      <w:r w:rsidRPr="002C3669">
        <w:t xml:space="preserve"> divided by </w:t>
      </w:r>
      <w:r w:rsidR="005C4065" w:rsidRPr="002C3669">
        <w:t xml:space="preserve">its </w:t>
      </w:r>
      <w:r w:rsidR="00542C58" w:rsidRPr="002C3669">
        <w:t xml:space="preserve">total </w:t>
      </w:r>
      <w:r w:rsidRPr="002C3669">
        <w:t xml:space="preserve">IT budget for the </w:t>
      </w:r>
      <w:r w:rsidR="00542C58" w:rsidRPr="002C3669">
        <w:t>most recent 3 fiscal years</w:t>
      </w:r>
      <w:r w:rsidRPr="002C3669">
        <w:t>.</w:t>
      </w:r>
      <w:r w:rsidR="005C4065" w:rsidRPr="002C3669">
        <w:t xml:space="preserve"> </w:t>
      </w:r>
      <w:r w:rsidR="0019670C" w:rsidRPr="002C3669">
        <w:t xml:space="preserve">Similar to the </w:t>
      </w:r>
      <w:r w:rsidR="002E1ADD" w:rsidRPr="002C3669">
        <w:t>Dashboard</w:t>
      </w:r>
      <w:r w:rsidR="0019670C" w:rsidRPr="002C3669">
        <w:t xml:space="preserve"> grade, t</w:t>
      </w:r>
      <w:r w:rsidR="007D73C8" w:rsidRPr="002C3669">
        <w:t>he five agencies with the h</w:t>
      </w:r>
      <w:r w:rsidR="00B41D40">
        <w:t xml:space="preserve">ighest percentage are given an </w:t>
      </w:r>
      <w:r w:rsidR="007D73C8" w:rsidRPr="002C3669">
        <w:t>A,</w:t>
      </w:r>
      <w:r w:rsidR="00B41D40">
        <w:t xml:space="preserve"> the next five a </w:t>
      </w:r>
      <w:r w:rsidR="007D73C8" w:rsidRPr="002C3669">
        <w:t xml:space="preserve">B, and so </w:t>
      </w:r>
      <w:r w:rsidR="0019670C" w:rsidRPr="002C3669">
        <w:t>forth</w:t>
      </w:r>
      <w:r w:rsidR="007D73C8" w:rsidRPr="002C3669">
        <w:t>.</w:t>
      </w:r>
      <w:r w:rsidR="0019670C">
        <w:t xml:space="preserve"> </w:t>
      </w:r>
    </w:p>
    <w:p w:rsidR="003F35E7" w:rsidRPr="007934DB" w:rsidRDefault="005827D3" w:rsidP="002C72C1">
      <w:pPr>
        <w:pStyle w:val="BodyText"/>
        <w:spacing w:line="240" w:lineRule="auto"/>
      </w:pPr>
      <w:r w:rsidRPr="008B2287">
        <w:rPr>
          <w:rStyle w:val="Heading3Char"/>
          <w:rFonts w:asciiTheme="minorHAnsi" w:hAnsiTheme="minorHAnsi"/>
        </w:rPr>
        <w:t>Data source</w:t>
      </w:r>
      <w:r w:rsidR="006878BA" w:rsidRPr="008B2287">
        <w:rPr>
          <w:rStyle w:val="Heading3Char"/>
          <w:rFonts w:asciiTheme="minorHAnsi" w:hAnsiTheme="minorHAnsi"/>
        </w:rPr>
        <w:t xml:space="preserve"> (quarterly)</w:t>
      </w:r>
      <w:r w:rsidR="003F35E7" w:rsidRPr="008B2287">
        <w:rPr>
          <w:rStyle w:val="Heading3Char"/>
          <w:rFonts w:asciiTheme="minorHAnsi" w:hAnsiTheme="minorHAnsi"/>
        </w:rPr>
        <w:t>:</w:t>
      </w:r>
      <w:r w:rsidR="003F2924" w:rsidRPr="008B2287">
        <w:rPr>
          <w:rStyle w:val="Heading3Char"/>
          <w:rFonts w:asciiTheme="minorHAnsi" w:hAnsiTheme="minorHAnsi"/>
        </w:rPr>
        <w:t xml:space="preserve"> </w:t>
      </w:r>
      <w:r w:rsidR="00B17CCC">
        <w:t>T</w:t>
      </w:r>
      <w:r w:rsidR="00B17CCC" w:rsidRPr="008B2287">
        <w:t>he President’s Budget</w:t>
      </w:r>
      <w:r w:rsidR="00B17CCC">
        <w:t xml:space="preserve"> and each agency’s cost savings file, as posted on its website as of </w:t>
      </w:r>
      <w:r w:rsidR="00DC0087">
        <w:t>December</w:t>
      </w:r>
      <w:r w:rsidR="00D925CC">
        <w:t xml:space="preserve"> 2018</w:t>
      </w:r>
      <w:r w:rsidR="006878BA" w:rsidRPr="007934DB">
        <w:t>.</w:t>
      </w:r>
      <w:r w:rsidR="00AB2F03" w:rsidRPr="007934DB">
        <w:rPr>
          <w:shd w:val="clear" w:color="auto" w:fill="D9D9D9" w:themeFill="background1" w:themeFillShade="D9"/>
        </w:rPr>
        <w:t xml:space="preserve"> </w:t>
      </w:r>
    </w:p>
    <w:p w:rsidR="00CB6953" w:rsidRPr="008B2287" w:rsidRDefault="00CB6953" w:rsidP="002C72C1">
      <w:pPr>
        <w:pStyle w:val="BodyText"/>
        <w:spacing w:line="240" w:lineRule="auto"/>
      </w:pPr>
      <w:r w:rsidRPr="002C3669">
        <w:rPr>
          <w:rStyle w:val="Heading3Char"/>
          <w:rFonts w:asciiTheme="minorHAnsi" w:hAnsiTheme="minorHAnsi"/>
        </w:rPr>
        <w:t>Highest-rated agencies</w:t>
      </w:r>
      <w:r w:rsidRPr="002C3669">
        <w:t xml:space="preserve">: </w:t>
      </w:r>
      <w:r w:rsidR="00AB2F03" w:rsidRPr="002C3669">
        <w:t>Five agencies—</w:t>
      </w:r>
      <w:r w:rsidR="002E1ADD" w:rsidRPr="00DC0087">
        <w:t xml:space="preserve">DOC, </w:t>
      </w:r>
      <w:r w:rsidR="00D709A3" w:rsidRPr="00DC0087">
        <w:t xml:space="preserve">HHS, </w:t>
      </w:r>
      <w:r w:rsidR="007934DB" w:rsidRPr="00DC0087">
        <w:t>Treasury</w:t>
      </w:r>
      <w:r w:rsidR="002E1ADD" w:rsidRPr="00DC0087">
        <w:t>, NASA, and USAID</w:t>
      </w:r>
      <w:r w:rsidR="00AB2F03" w:rsidRPr="00D709A3">
        <w:t>—</w:t>
      </w:r>
      <w:r w:rsidR="00B41D40">
        <w:t>received A</w:t>
      </w:r>
      <w:r w:rsidR="00AB2F03" w:rsidRPr="002C3669">
        <w:t xml:space="preserve"> grades for this portion of the scorecard</w:t>
      </w:r>
      <w:r w:rsidR="00AB2F03" w:rsidRPr="00D709A3">
        <w:t xml:space="preserve">. </w:t>
      </w:r>
      <w:r w:rsidR="00B73111">
        <w:t xml:space="preserve">The same five agencies received </w:t>
      </w:r>
      <w:proofErr w:type="gramStart"/>
      <w:r w:rsidR="00B73111">
        <w:t>A</w:t>
      </w:r>
      <w:proofErr w:type="gramEnd"/>
      <w:r w:rsidR="00B73111">
        <w:t xml:space="preserve"> grades in the prior iteration of the scorecard, the first such repeat performance. </w:t>
      </w:r>
    </w:p>
    <w:p w:rsidR="00CB6953" w:rsidRPr="008B2287" w:rsidRDefault="00CB6953" w:rsidP="002C72C1">
      <w:pPr>
        <w:pStyle w:val="BodyText"/>
        <w:spacing w:line="240" w:lineRule="auto"/>
      </w:pPr>
      <w:r w:rsidRPr="008B2287">
        <w:rPr>
          <w:rStyle w:val="Heading3Char"/>
          <w:rFonts w:asciiTheme="minorHAnsi" w:hAnsiTheme="minorHAnsi"/>
        </w:rPr>
        <w:t>Lowest-rated agencies</w:t>
      </w:r>
      <w:r w:rsidRPr="007934DB">
        <w:t xml:space="preserve">: </w:t>
      </w:r>
      <w:r w:rsidR="00AB2F03" w:rsidRPr="007934DB">
        <w:t>Four agencies—</w:t>
      </w:r>
      <w:r w:rsidR="00B73111">
        <w:t xml:space="preserve">USDA, </w:t>
      </w:r>
      <w:r w:rsidR="007934DB" w:rsidRPr="00B73111">
        <w:t>DOD, HUD</w:t>
      </w:r>
      <w:r w:rsidR="006345C7" w:rsidRPr="00B73111">
        <w:t>, and OPM</w:t>
      </w:r>
      <w:r w:rsidR="00AB2F03" w:rsidRPr="00D709A3">
        <w:t>—r</w:t>
      </w:r>
      <w:r w:rsidR="00AB2F03" w:rsidRPr="008B2287">
        <w:t xml:space="preserve">eceived failing grades. </w:t>
      </w:r>
      <w:r w:rsidR="00D709A3">
        <w:t>However, all of these agencies have now reported some cost savings through this effort.</w:t>
      </w:r>
    </w:p>
    <w:p w:rsidR="00413378" w:rsidRPr="008B2287" w:rsidRDefault="005827D3" w:rsidP="002C72C1">
      <w:pPr>
        <w:pStyle w:val="BodyText"/>
        <w:spacing w:line="240" w:lineRule="auto"/>
        <w:rPr>
          <w:rFonts w:eastAsiaTheme="majorEastAsia" w:cstheme="majorBidi"/>
          <w:b/>
          <w:bCs/>
          <w:color w:val="4F81BD" w:themeColor="accent1"/>
          <w:sz w:val="26"/>
          <w:szCs w:val="26"/>
        </w:rPr>
      </w:pPr>
      <w:r w:rsidRPr="008B2287">
        <w:rPr>
          <w:rStyle w:val="Heading3Char"/>
          <w:rFonts w:asciiTheme="minorHAnsi" w:hAnsiTheme="minorHAnsi"/>
        </w:rPr>
        <w:t>GAO reports</w:t>
      </w:r>
      <w:r w:rsidR="0042136A" w:rsidRPr="008B2287">
        <w:rPr>
          <w:rStyle w:val="Heading3Char"/>
          <w:rFonts w:asciiTheme="minorHAnsi" w:hAnsiTheme="minorHAnsi"/>
        </w:rPr>
        <w:t>:</w:t>
      </w:r>
      <w:r w:rsidR="0042136A" w:rsidRPr="008B2287">
        <w:t xml:space="preserve"> </w:t>
      </w:r>
      <w:r w:rsidR="00AB2F03">
        <w:t xml:space="preserve">In April 2015, </w:t>
      </w:r>
      <w:r w:rsidR="0042136A" w:rsidRPr="008B2287">
        <w:t xml:space="preserve">GAO reported </w:t>
      </w:r>
      <w:r w:rsidR="00AB2F03">
        <w:t>(</w:t>
      </w:r>
      <w:hyperlink r:id="rId12" w:history="1">
        <w:r w:rsidR="00AB2F03">
          <w:rPr>
            <w:rStyle w:val="Hyperlink"/>
          </w:rPr>
          <w:t>GAO-15-296</w:t>
        </w:r>
      </w:hyperlink>
      <w:r w:rsidR="00AB2F03">
        <w:t xml:space="preserve">) </w:t>
      </w:r>
      <w:r w:rsidR="0042136A" w:rsidRPr="008B2287">
        <w:t>that agencies continued to identify duplicative spending as part of PortfolioStat</w:t>
      </w:r>
      <w:r w:rsidR="00A73DA7">
        <w:t xml:space="preserve">, but decreased their planned savings from </w:t>
      </w:r>
      <w:r w:rsidR="0042136A" w:rsidRPr="008B2287">
        <w:t xml:space="preserve">$5.8 billion </w:t>
      </w:r>
      <w:r w:rsidR="00A73DA7">
        <w:t>to $2.0 billion through fiscal year 2015</w:t>
      </w:r>
      <w:r w:rsidR="0042136A" w:rsidRPr="008B2287">
        <w:t xml:space="preserve">. GAO made recommendations to improve </w:t>
      </w:r>
      <w:r w:rsidR="00A73DA7">
        <w:t xml:space="preserve">federal </w:t>
      </w:r>
      <w:r w:rsidR="0042136A" w:rsidRPr="008B2287">
        <w:t>i</w:t>
      </w:r>
      <w:r w:rsidR="00A73DA7">
        <w:t>mplementation of the PortfolioStat initiative.</w:t>
      </w:r>
      <w:r w:rsidR="00413378" w:rsidRPr="008B2287">
        <w:br w:type="page"/>
      </w:r>
    </w:p>
    <w:p w:rsidR="00FB11B4" w:rsidRPr="008B2287" w:rsidRDefault="005B7142" w:rsidP="002C72C1">
      <w:pPr>
        <w:pStyle w:val="Heading2"/>
        <w:pBdr>
          <w:bottom w:val="single" w:sz="4" w:space="1" w:color="auto"/>
        </w:pBdr>
        <w:spacing w:line="240" w:lineRule="auto"/>
        <w:rPr>
          <w:rFonts w:asciiTheme="minorHAnsi" w:hAnsiTheme="minorHAnsi"/>
        </w:rPr>
      </w:pPr>
      <w:r w:rsidRPr="008B2287">
        <w:rPr>
          <w:rFonts w:asciiTheme="minorHAnsi" w:hAnsiTheme="minorHAnsi"/>
        </w:rPr>
        <w:lastRenderedPageBreak/>
        <w:t xml:space="preserve">Federal Data Center </w:t>
      </w:r>
      <w:r w:rsidR="002332EA">
        <w:rPr>
          <w:rFonts w:asciiTheme="minorHAnsi" w:hAnsiTheme="minorHAnsi"/>
        </w:rPr>
        <w:t>Optimization</w:t>
      </w:r>
      <w:r w:rsidRPr="008B2287">
        <w:rPr>
          <w:rFonts w:asciiTheme="minorHAnsi" w:hAnsiTheme="minorHAnsi"/>
        </w:rPr>
        <w:t xml:space="preserve"> Initiative (</w:t>
      </w:r>
      <w:r w:rsidR="002332EA">
        <w:rPr>
          <w:rFonts w:asciiTheme="minorHAnsi" w:hAnsiTheme="minorHAnsi"/>
        </w:rPr>
        <w:t>DCOI</w:t>
      </w:r>
      <w:r w:rsidRPr="008B2287">
        <w:rPr>
          <w:rFonts w:asciiTheme="minorHAnsi" w:hAnsiTheme="minorHAnsi"/>
        </w:rPr>
        <w:t>)</w:t>
      </w:r>
    </w:p>
    <w:p w:rsidR="001D45D7" w:rsidRPr="008B2287" w:rsidRDefault="001D45D7" w:rsidP="002C72C1">
      <w:pPr>
        <w:pStyle w:val="BodyText"/>
        <w:spacing w:line="240" w:lineRule="auto"/>
      </w:pPr>
      <w:r w:rsidRPr="008B2287">
        <w:t xml:space="preserve">FITARA requires agencies </w:t>
      </w:r>
      <w:r w:rsidR="00C233A4" w:rsidRPr="008B2287">
        <w:t xml:space="preserve">(with a few caveats) </w:t>
      </w:r>
      <w:r w:rsidRPr="008B2287">
        <w:t>to provide OMB with a data center inventory, a strategy for consolidating and optimizing the data centers (to include planned cost savings), and quarterly updates on progress made. The law also requires for OMB to develop a goal of how much is to be saved through this initiative, and provide annual updates on cost savings achieved.</w:t>
      </w:r>
    </w:p>
    <w:p w:rsidR="007A5AB1" w:rsidRPr="007449C1" w:rsidRDefault="008C7694" w:rsidP="002C72C1">
      <w:pPr>
        <w:pStyle w:val="BodyText"/>
        <w:spacing w:line="240" w:lineRule="auto"/>
      </w:pPr>
      <w:r w:rsidRPr="008B2287">
        <w:rPr>
          <w:rStyle w:val="Heading3Char"/>
          <w:rFonts w:asciiTheme="minorHAnsi" w:hAnsiTheme="minorHAnsi"/>
        </w:rPr>
        <w:t>Why it’s important</w:t>
      </w:r>
      <w:r w:rsidR="001D45D7" w:rsidRPr="008B2287">
        <w:t>:</w:t>
      </w:r>
      <w:r w:rsidR="001D45D7" w:rsidRPr="008B2287">
        <w:rPr>
          <w:b/>
        </w:rPr>
        <w:t xml:space="preserve"> </w:t>
      </w:r>
      <w:r w:rsidR="0042136A" w:rsidRPr="008B2287">
        <w:t xml:space="preserve">Concerned about the </w:t>
      </w:r>
      <w:r w:rsidR="00F20822">
        <w:t xml:space="preserve">number </w:t>
      </w:r>
      <w:r w:rsidR="0042136A" w:rsidRPr="008B2287">
        <w:t>of federal data center</w:t>
      </w:r>
      <w:r w:rsidR="00F20822">
        <w:t>s</w:t>
      </w:r>
      <w:r w:rsidR="0042136A" w:rsidRPr="008B2287">
        <w:t xml:space="preserve"> and recognizing the potential to improve the</w:t>
      </w:r>
      <w:r w:rsidR="00F20822">
        <w:t xml:space="preserve"> associated</w:t>
      </w:r>
      <w:r w:rsidR="0042136A" w:rsidRPr="008B2287">
        <w:t xml:space="preserve"> efficiency, performance, and environmental footprint, OMB </w:t>
      </w:r>
      <w:r w:rsidR="00B41D40">
        <w:t xml:space="preserve">established </w:t>
      </w:r>
      <w:r w:rsidR="002E01C4">
        <w:t>a goal of saving $2.7 billion</w:t>
      </w:r>
      <w:r w:rsidR="00B41D40">
        <w:t xml:space="preserve"> on federal data centers</w:t>
      </w:r>
      <w:r w:rsidR="002E01C4">
        <w:t>.</w:t>
      </w:r>
    </w:p>
    <w:tbl>
      <w:tblPr>
        <w:tblpPr w:leftFromText="144" w:rightFromText="144" w:vertAnchor="text" w:tblpXSpec="right" w:tblpY="-287"/>
        <w:tblOverlap w:val="never"/>
        <w:tblW w:w="7545" w:type="dxa"/>
        <w:tblBorders>
          <w:bottom w:val="single" w:sz="8" w:space="0" w:color="auto"/>
          <w:insideH w:val="single" w:sz="8" w:space="0" w:color="auto"/>
        </w:tblBorders>
        <w:tblLayout w:type="fixed"/>
        <w:tblLook w:val="04A0" w:firstRow="1" w:lastRow="0" w:firstColumn="1" w:lastColumn="0" w:noHBand="0" w:noVBand="1"/>
      </w:tblPr>
      <w:tblGrid>
        <w:gridCol w:w="954"/>
        <w:gridCol w:w="1296"/>
        <w:gridCol w:w="857"/>
        <w:gridCol w:w="634"/>
        <w:gridCol w:w="634"/>
        <w:gridCol w:w="634"/>
        <w:gridCol w:w="634"/>
        <w:gridCol w:w="634"/>
        <w:gridCol w:w="634"/>
        <w:gridCol w:w="634"/>
      </w:tblGrid>
      <w:tr w:rsidR="00D41435" w:rsidRPr="00B73111" w:rsidTr="009F1536">
        <w:trPr>
          <w:trHeight w:val="465"/>
        </w:trPr>
        <w:tc>
          <w:tcPr>
            <w:tcW w:w="954" w:type="dxa"/>
            <w:shd w:val="clear" w:color="auto" w:fill="auto"/>
            <w:noWrap/>
            <w:vAlign w:val="bottom"/>
          </w:tcPr>
          <w:p w:rsidR="00D41435" w:rsidRPr="00B73111" w:rsidRDefault="00D41435" w:rsidP="002C72C1">
            <w:pPr>
              <w:spacing w:after="0" w:line="240" w:lineRule="auto"/>
              <w:rPr>
                <w:b/>
                <w:sz w:val="20"/>
              </w:rPr>
            </w:pPr>
            <w:r w:rsidRPr="00B73111">
              <w:rPr>
                <w:b/>
                <w:sz w:val="20"/>
              </w:rPr>
              <w:t>Agency</w:t>
            </w:r>
          </w:p>
        </w:tc>
        <w:tc>
          <w:tcPr>
            <w:tcW w:w="1296" w:type="dxa"/>
            <w:shd w:val="clear" w:color="auto" w:fill="auto"/>
            <w:noWrap/>
            <w:vAlign w:val="bottom"/>
          </w:tcPr>
          <w:p w:rsidR="00D41435" w:rsidRPr="00B73111" w:rsidRDefault="00D41435" w:rsidP="002C72C1">
            <w:pPr>
              <w:spacing w:after="0" w:line="240" w:lineRule="auto"/>
              <w:jc w:val="center"/>
              <w:rPr>
                <w:b/>
                <w:sz w:val="20"/>
              </w:rPr>
            </w:pPr>
            <w:r w:rsidRPr="00B73111">
              <w:rPr>
                <w:b/>
                <w:sz w:val="20"/>
              </w:rPr>
              <w:t>Percent of goal realized</w:t>
            </w:r>
          </w:p>
        </w:tc>
        <w:tc>
          <w:tcPr>
            <w:tcW w:w="857" w:type="dxa"/>
            <w:shd w:val="clear" w:color="auto" w:fill="auto"/>
            <w:vAlign w:val="bottom"/>
          </w:tcPr>
          <w:p w:rsidR="00D41435" w:rsidRPr="00D07DD9" w:rsidRDefault="00D41435" w:rsidP="002C72C1">
            <w:pPr>
              <w:spacing w:after="0" w:line="240" w:lineRule="auto"/>
              <w:jc w:val="center"/>
              <w:rPr>
                <w:b/>
                <w:sz w:val="20"/>
              </w:rPr>
            </w:pPr>
            <w:r w:rsidRPr="00D07DD9">
              <w:rPr>
                <w:b/>
                <w:sz w:val="20"/>
              </w:rPr>
              <w:t>Metrics</w:t>
            </w:r>
          </w:p>
        </w:tc>
        <w:tc>
          <w:tcPr>
            <w:tcW w:w="634" w:type="dxa"/>
            <w:vAlign w:val="bottom"/>
          </w:tcPr>
          <w:p w:rsidR="00D41435" w:rsidRPr="00733500" w:rsidRDefault="00D41435" w:rsidP="002C72C1">
            <w:pPr>
              <w:spacing w:after="0" w:line="240" w:lineRule="auto"/>
              <w:jc w:val="center"/>
              <w:rPr>
                <w:b/>
                <w:sz w:val="20"/>
              </w:rPr>
            </w:pPr>
            <w:r w:rsidRPr="00733500">
              <w:rPr>
                <w:b/>
                <w:sz w:val="20"/>
              </w:rPr>
              <w:t>Dec. 2018</w:t>
            </w:r>
          </w:p>
        </w:tc>
        <w:tc>
          <w:tcPr>
            <w:tcW w:w="634" w:type="dxa"/>
            <w:shd w:val="clear" w:color="auto" w:fill="auto"/>
            <w:vAlign w:val="bottom"/>
          </w:tcPr>
          <w:p w:rsidR="00D41435" w:rsidRPr="00B73111" w:rsidRDefault="00D41435" w:rsidP="002C72C1">
            <w:pPr>
              <w:spacing w:after="0" w:line="240" w:lineRule="auto"/>
              <w:jc w:val="center"/>
              <w:rPr>
                <w:b/>
                <w:sz w:val="20"/>
              </w:rPr>
            </w:pPr>
            <w:r w:rsidRPr="00B73111">
              <w:rPr>
                <w:b/>
                <w:sz w:val="20"/>
              </w:rPr>
              <w:t>May 2018</w:t>
            </w:r>
          </w:p>
        </w:tc>
        <w:tc>
          <w:tcPr>
            <w:tcW w:w="634" w:type="dxa"/>
            <w:shd w:val="clear" w:color="auto" w:fill="auto"/>
            <w:vAlign w:val="bottom"/>
          </w:tcPr>
          <w:p w:rsidR="00D41435" w:rsidRPr="00B73111" w:rsidRDefault="00D41435" w:rsidP="002C72C1">
            <w:pPr>
              <w:spacing w:after="0" w:line="240" w:lineRule="auto"/>
              <w:jc w:val="center"/>
              <w:rPr>
                <w:b/>
                <w:sz w:val="20"/>
              </w:rPr>
            </w:pPr>
            <w:r w:rsidRPr="00B73111">
              <w:rPr>
                <w:b/>
                <w:sz w:val="20"/>
              </w:rPr>
              <w:t>Nov. 2017</w:t>
            </w:r>
          </w:p>
        </w:tc>
        <w:tc>
          <w:tcPr>
            <w:tcW w:w="634" w:type="dxa"/>
            <w:shd w:val="clear" w:color="auto" w:fill="auto"/>
            <w:vAlign w:val="bottom"/>
          </w:tcPr>
          <w:p w:rsidR="00D41435" w:rsidRPr="00B73111" w:rsidRDefault="00D41435" w:rsidP="002C72C1">
            <w:pPr>
              <w:spacing w:after="0" w:line="240" w:lineRule="auto"/>
              <w:jc w:val="center"/>
              <w:rPr>
                <w:b/>
                <w:sz w:val="20"/>
              </w:rPr>
            </w:pPr>
            <w:r w:rsidRPr="00B73111">
              <w:rPr>
                <w:b/>
                <w:sz w:val="20"/>
              </w:rPr>
              <w:t>June 2017</w:t>
            </w:r>
          </w:p>
        </w:tc>
        <w:tc>
          <w:tcPr>
            <w:tcW w:w="634" w:type="dxa"/>
            <w:shd w:val="clear" w:color="auto" w:fill="auto"/>
            <w:vAlign w:val="bottom"/>
          </w:tcPr>
          <w:p w:rsidR="00D41435" w:rsidRPr="00B73111" w:rsidRDefault="00D41435" w:rsidP="002C72C1">
            <w:pPr>
              <w:spacing w:after="0" w:line="240" w:lineRule="auto"/>
              <w:jc w:val="center"/>
              <w:rPr>
                <w:b/>
                <w:sz w:val="20"/>
              </w:rPr>
            </w:pPr>
            <w:r w:rsidRPr="00B73111">
              <w:rPr>
                <w:b/>
                <w:sz w:val="20"/>
              </w:rPr>
              <w:t>Dec. 2016</w:t>
            </w:r>
          </w:p>
        </w:tc>
        <w:tc>
          <w:tcPr>
            <w:tcW w:w="634" w:type="dxa"/>
            <w:shd w:val="clear" w:color="auto" w:fill="auto"/>
            <w:noWrap/>
            <w:vAlign w:val="bottom"/>
          </w:tcPr>
          <w:p w:rsidR="00D41435" w:rsidRPr="00B73111" w:rsidRDefault="00D41435" w:rsidP="002C72C1">
            <w:pPr>
              <w:spacing w:after="0" w:line="240" w:lineRule="auto"/>
              <w:jc w:val="center"/>
              <w:rPr>
                <w:b/>
                <w:sz w:val="20"/>
              </w:rPr>
            </w:pPr>
            <w:r w:rsidRPr="00B73111">
              <w:rPr>
                <w:b/>
                <w:sz w:val="20"/>
              </w:rPr>
              <w:t>May 2016</w:t>
            </w:r>
          </w:p>
        </w:tc>
        <w:tc>
          <w:tcPr>
            <w:tcW w:w="634" w:type="dxa"/>
            <w:shd w:val="clear" w:color="auto" w:fill="auto"/>
            <w:noWrap/>
            <w:vAlign w:val="bottom"/>
          </w:tcPr>
          <w:p w:rsidR="00D41435" w:rsidRPr="00B73111" w:rsidRDefault="00D41435" w:rsidP="002C72C1">
            <w:pPr>
              <w:spacing w:after="0" w:line="240" w:lineRule="auto"/>
              <w:jc w:val="center"/>
              <w:rPr>
                <w:b/>
                <w:sz w:val="20"/>
              </w:rPr>
            </w:pPr>
            <w:r w:rsidRPr="00B73111">
              <w:rPr>
                <w:b/>
                <w:sz w:val="20"/>
              </w:rPr>
              <w:t>Nov. 2015</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USDA</w:t>
            </w:r>
            <w:r w:rsidRPr="00B73111">
              <w:rPr>
                <w:rFonts w:eastAsia="Times New Roman" w:cs="Times New Roman"/>
                <w:noProof/>
                <w:color w:val="000000"/>
                <w:sz w:val="20"/>
                <w:szCs w:val="20"/>
              </w:rPr>
              <w:drawing>
                <wp:inline distT="0" distB="0" distL="0" distR="0" wp14:anchorId="55D996EB" wp14:editId="177F87A5">
                  <wp:extent cx="122222" cy="99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hideMark/>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(24)</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FFC000"/>
          </w:tcPr>
          <w:p w:rsidR="00B73111" w:rsidRPr="00B73111" w:rsidRDefault="00B73111" w:rsidP="002C72C1">
            <w:pPr>
              <w:spacing w:after="0" w:line="240" w:lineRule="auto"/>
              <w:jc w:val="center"/>
              <w:rPr>
                <w:sz w:val="20"/>
              </w:rPr>
            </w:pPr>
            <w:r w:rsidRPr="00B73111">
              <w:rPr>
                <w:sz w:val="20"/>
              </w:rPr>
              <w:t>D</w:t>
            </w:r>
          </w:p>
        </w:tc>
        <w:tc>
          <w:tcPr>
            <w:tcW w:w="634" w:type="dxa"/>
            <w:shd w:val="clear" w:color="auto" w:fill="FFC000"/>
            <w:vAlign w:val="bottom"/>
          </w:tcPr>
          <w:p w:rsidR="00B73111" w:rsidRPr="00B73111" w:rsidRDefault="00B73111" w:rsidP="002C72C1">
            <w:pPr>
              <w:spacing w:after="0" w:line="240" w:lineRule="auto"/>
              <w:jc w:val="center"/>
              <w:rPr>
                <w:sz w:val="20"/>
                <w:szCs w:val="20"/>
              </w:rPr>
            </w:pPr>
            <w:r w:rsidRPr="00B73111">
              <w:rPr>
                <w:sz w:val="20"/>
                <w:szCs w:val="20"/>
              </w:rPr>
              <w:t>D</w:t>
            </w:r>
          </w:p>
        </w:tc>
        <w:tc>
          <w:tcPr>
            <w:tcW w:w="634" w:type="dxa"/>
            <w:shd w:val="clear" w:color="auto" w:fill="FFC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D</w:t>
            </w:r>
          </w:p>
        </w:tc>
        <w:tc>
          <w:tcPr>
            <w:tcW w:w="634" w:type="dxa"/>
            <w:shd w:val="clear" w:color="auto" w:fill="FFC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D</w:t>
            </w:r>
          </w:p>
        </w:tc>
        <w:tc>
          <w:tcPr>
            <w:tcW w:w="634" w:type="dxa"/>
            <w:shd w:val="clear" w:color="auto" w:fill="FFC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D</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DOC</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(95)</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00D07DD9" w:rsidRPr="00D07DD9">
              <w:rPr>
                <w:rFonts w:cs="Arial"/>
                <w:color w:val="00B050"/>
                <w:sz w:val="20"/>
                <w:szCs w:val="20"/>
              </w:rPr>
              <w:t>●</w:t>
            </w: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DOD</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20% (1,800)</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C00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F</w:t>
            </w:r>
          </w:p>
        </w:tc>
        <w:tc>
          <w:tcPr>
            <w:tcW w:w="634" w:type="dxa"/>
            <w:shd w:val="clear" w:color="auto" w:fill="C00000"/>
          </w:tcPr>
          <w:p w:rsidR="00B73111" w:rsidRPr="00B73111" w:rsidRDefault="00B73111" w:rsidP="002C72C1">
            <w:pPr>
              <w:spacing w:after="0" w:line="240" w:lineRule="auto"/>
              <w:jc w:val="center"/>
              <w:rPr>
                <w:sz w:val="20"/>
              </w:rPr>
            </w:pPr>
            <w:r w:rsidRPr="00B73111">
              <w:rPr>
                <w:sz w:val="20"/>
              </w:rPr>
              <w:t>F</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FFC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D</w:t>
            </w:r>
          </w:p>
        </w:tc>
        <w:tc>
          <w:tcPr>
            <w:tcW w:w="634" w:type="dxa"/>
            <w:shd w:val="clear" w:color="auto" w:fill="FFFF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C</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Ed.</w:t>
            </w:r>
            <w:r w:rsidRPr="00B73111">
              <w:rPr>
                <w:rFonts w:eastAsia="Times New Roman" w:cs="Times New Roman"/>
                <w:noProof/>
                <w:color w:val="000000"/>
                <w:sz w:val="20"/>
                <w:szCs w:val="20"/>
              </w:rPr>
              <w:drawing>
                <wp:inline distT="0" distB="0" distL="0" distR="0" wp14:anchorId="1283895B" wp14:editId="5B391550">
                  <wp:extent cx="122222" cy="99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333333"/>
                <w:sz w:val="20"/>
                <w:szCs w:val="20"/>
              </w:rPr>
              <w:t>●●●●●</w:t>
            </w:r>
          </w:p>
        </w:tc>
        <w:tc>
          <w:tcPr>
            <w:tcW w:w="634" w:type="dxa"/>
            <w:shd w:val="clear" w:color="auto" w:fill="0070C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A</w:t>
            </w:r>
          </w:p>
        </w:tc>
        <w:tc>
          <w:tcPr>
            <w:tcW w:w="634" w:type="dxa"/>
            <w:shd w:val="clear" w:color="auto" w:fill="0070C0"/>
          </w:tcPr>
          <w:p w:rsidR="00B73111" w:rsidRPr="00B73111" w:rsidRDefault="00B73111" w:rsidP="002C72C1">
            <w:pPr>
              <w:spacing w:after="0" w:line="240" w:lineRule="auto"/>
              <w:jc w:val="center"/>
              <w:rPr>
                <w:sz w:val="20"/>
              </w:rPr>
            </w:pPr>
            <w:r w:rsidRPr="00B73111">
              <w:rPr>
                <w:sz w:val="20"/>
              </w:rPr>
              <w:t>A</w:t>
            </w:r>
          </w:p>
        </w:tc>
        <w:tc>
          <w:tcPr>
            <w:tcW w:w="634" w:type="dxa"/>
            <w:shd w:val="clear" w:color="auto" w:fill="0070C0"/>
            <w:vAlign w:val="bottom"/>
          </w:tcPr>
          <w:p w:rsidR="00B73111" w:rsidRPr="00B73111" w:rsidRDefault="00B73111" w:rsidP="002C72C1">
            <w:pPr>
              <w:spacing w:after="0" w:line="240" w:lineRule="auto"/>
              <w:jc w:val="center"/>
              <w:rPr>
                <w:sz w:val="20"/>
                <w:szCs w:val="20"/>
              </w:rPr>
            </w:pPr>
            <w:r w:rsidRPr="00B73111">
              <w:rPr>
                <w:sz w:val="20"/>
                <w:szCs w:val="20"/>
              </w:rPr>
              <w:t>A</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92D05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B</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Energy</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00D07DD9" w:rsidRPr="00D07DD9">
              <w:rPr>
                <w:rFonts w:cs="Arial"/>
                <w:color w:val="00B050"/>
                <w:sz w:val="20"/>
                <w:szCs w:val="20"/>
              </w:rPr>
              <w:t>●</w:t>
            </w:r>
            <w:r w:rsidRPr="00D07DD9">
              <w:rPr>
                <w:rFonts w:cs="Arial"/>
                <w:color w:val="C00000"/>
                <w:sz w:val="20"/>
                <w:szCs w:val="20"/>
              </w:rPr>
              <w:t>●●</w:t>
            </w:r>
          </w:p>
        </w:tc>
        <w:tc>
          <w:tcPr>
            <w:tcW w:w="634" w:type="dxa"/>
            <w:shd w:val="clear" w:color="auto" w:fill="C00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F</w:t>
            </w:r>
          </w:p>
        </w:tc>
        <w:tc>
          <w:tcPr>
            <w:tcW w:w="634" w:type="dxa"/>
            <w:shd w:val="clear" w:color="auto" w:fill="C00000"/>
          </w:tcPr>
          <w:p w:rsidR="00B73111" w:rsidRPr="00B73111" w:rsidRDefault="00B73111" w:rsidP="002C72C1">
            <w:pPr>
              <w:spacing w:after="0" w:line="240" w:lineRule="auto"/>
              <w:jc w:val="center"/>
              <w:rPr>
                <w:sz w:val="20"/>
              </w:rPr>
            </w:pPr>
            <w:r w:rsidRPr="00B73111">
              <w:rPr>
                <w:sz w:val="20"/>
              </w:rPr>
              <w:t>F</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shd w:val="clear" w:color="auto" w:fill="FFFF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C</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HHS</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(78)</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DHS</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(155)</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HUD</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sz w:val="20"/>
                <w:szCs w:val="20"/>
              </w:rPr>
              <w:t>●●●●●</w:t>
            </w:r>
          </w:p>
        </w:tc>
        <w:tc>
          <w:tcPr>
            <w:tcW w:w="634" w:type="dxa"/>
            <w:shd w:val="clear" w:color="auto" w:fill="0070C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A</w:t>
            </w:r>
          </w:p>
        </w:tc>
        <w:tc>
          <w:tcPr>
            <w:tcW w:w="634" w:type="dxa"/>
            <w:shd w:val="clear" w:color="auto" w:fill="0070C0"/>
          </w:tcPr>
          <w:p w:rsidR="00B73111" w:rsidRPr="00B73111" w:rsidRDefault="00B73111" w:rsidP="002C72C1">
            <w:pPr>
              <w:spacing w:after="0" w:line="240" w:lineRule="auto"/>
              <w:jc w:val="center"/>
              <w:rPr>
                <w:sz w:val="20"/>
              </w:rPr>
            </w:pPr>
            <w:r w:rsidRPr="00B73111">
              <w:rPr>
                <w:sz w:val="20"/>
              </w:rPr>
              <w:t>A</w:t>
            </w:r>
          </w:p>
        </w:tc>
        <w:tc>
          <w:tcPr>
            <w:tcW w:w="634" w:type="dxa"/>
            <w:shd w:val="clear" w:color="auto" w:fill="0070C0"/>
            <w:vAlign w:val="bottom"/>
          </w:tcPr>
          <w:p w:rsidR="00B73111" w:rsidRPr="00B73111" w:rsidRDefault="00B73111" w:rsidP="002C72C1">
            <w:pPr>
              <w:spacing w:after="0" w:line="240" w:lineRule="auto"/>
              <w:jc w:val="center"/>
              <w:rPr>
                <w:sz w:val="20"/>
                <w:szCs w:val="20"/>
              </w:rPr>
            </w:pPr>
            <w:r w:rsidRPr="00B73111">
              <w:rPr>
                <w:sz w:val="20"/>
                <w:szCs w:val="20"/>
              </w:rPr>
              <w:t>A</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BFBFBF" w:themeFill="background1" w:themeFillShade="BF"/>
            <w:vAlign w:val="bottom"/>
          </w:tcPr>
          <w:p w:rsidR="00B73111" w:rsidRPr="00B73111" w:rsidRDefault="00B73111" w:rsidP="002C72C1">
            <w:pPr>
              <w:autoSpaceDE w:val="0"/>
              <w:autoSpaceDN w:val="0"/>
              <w:adjustRightInd w:val="0"/>
              <w:spacing w:after="0" w:line="240" w:lineRule="auto"/>
              <w:jc w:val="center"/>
              <w:rPr>
                <w:rFonts w:cs="Calibri"/>
                <w:sz w:val="20"/>
                <w:szCs w:val="20"/>
              </w:rPr>
            </w:pPr>
          </w:p>
        </w:tc>
        <w:tc>
          <w:tcPr>
            <w:tcW w:w="634" w:type="dxa"/>
            <w:shd w:val="clear" w:color="auto" w:fill="BFBFBF" w:themeFill="background1" w:themeFillShade="BF"/>
            <w:noWrap/>
            <w:vAlign w:val="bottom"/>
          </w:tcPr>
          <w:p w:rsidR="00B73111" w:rsidRPr="00B73111" w:rsidRDefault="00B73111" w:rsidP="002C72C1">
            <w:pPr>
              <w:spacing w:after="0" w:line="240" w:lineRule="auto"/>
              <w:jc w:val="center"/>
              <w:rPr>
                <w:rFonts w:eastAsia="Times New Roman" w:cs="Times New Roman"/>
                <w:sz w:val="20"/>
                <w:szCs w:val="20"/>
              </w:rPr>
            </w:pPr>
          </w:p>
        </w:tc>
        <w:tc>
          <w:tcPr>
            <w:tcW w:w="634" w:type="dxa"/>
            <w:shd w:val="clear" w:color="000000" w:fill="BFBFBF"/>
            <w:noWrap/>
            <w:vAlign w:val="bottom"/>
          </w:tcPr>
          <w:p w:rsidR="00B73111" w:rsidRPr="00B73111" w:rsidRDefault="00B73111" w:rsidP="002C72C1">
            <w:pPr>
              <w:spacing w:after="0" w:line="240" w:lineRule="auto"/>
              <w:jc w:val="center"/>
              <w:rPr>
                <w:rFonts w:eastAsia="Times New Roman" w:cs="Times New Roman"/>
                <w:sz w:val="20"/>
                <w:szCs w:val="20"/>
              </w:rPr>
            </w:pP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DOI</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24% (88)</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00D07DD9" w:rsidRPr="00D07DD9">
              <w:rPr>
                <w:rFonts w:cs="Arial"/>
                <w:color w:val="00B050"/>
                <w:sz w:val="20"/>
                <w:szCs w:val="20"/>
              </w:rPr>
              <w:t>●</w:t>
            </w:r>
          </w:p>
        </w:tc>
        <w:tc>
          <w:tcPr>
            <w:tcW w:w="634" w:type="dxa"/>
            <w:shd w:val="clear" w:color="auto" w:fill="C00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F</w:t>
            </w:r>
          </w:p>
        </w:tc>
        <w:tc>
          <w:tcPr>
            <w:tcW w:w="634" w:type="dxa"/>
            <w:shd w:val="clear" w:color="auto" w:fill="C00000"/>
          </w:tcPr>
          <w:p w:rsidR="00B73111" w:rsidRPr="00B73111" w:rsidRDefault="00B73111" w:rsidP="002C72C1">
            <w:pPr>
              <w:spacing w:after="0" w:line="240" w:lineRule="auto"/>
              <w:jc w:val="center"/>
              <w:rPr>
                <w:sz w:val="20"/>
              </w:rPr>
            </w:pPr>
            <w:r w:rsidRPr="00B73111">
              <w:rPr>
                <w:sz w:val="20"/>
              </w:rPr>
              <w:t>F</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DOJ</w:t>
            </w:r>
            <w:r w:rsidRPr="00B73111">
              <w:rPr>
                <w:rFonts w:eastAsia="Times New Roman" w:cs="Times New Roman"/>
                <w:noProof/>
                <w:color w:val="000000"/>
                <w:sz w:val="20"/>
                <w:szCs w:val="20"/>
              </w:rPr>
              <w:drawing>
                <wp:inline distT="0" distB="0" distL="0" distR="0" wp14:anchorId="37F3932D" wp14:editId="1661FB85">
                  <wp:extent cx="122222" cy="995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(66)</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92D050"/>
          </w:tcPr>
          <w:p w:rsidR="00B73111" w:rsidRPr="00B73111" w:rsidRDefault="00B73111" w:rsidP="002C72C1">
            <w:pPr>
              <w:spacing w:after="0" w:line="240" w:lineRule="auto"/>
              <w:jc w:val="center"/>
              <w:rPr>
                <w:sz w:val="20"/>
              </w:rPr>
            </w:pPr>
            <w:r w:rsidRPr="00B73111">
              <w:rPr>
                <w:sz w:val="20"/>
              </w:rPr>
              <w:t>B</w:t>
            </w:r>
          </w:p>
        </w:tc>
        <w:tc>
          <w:tcPr>
            <w:tcW w:w="634" w:type="dxa"/>
            <w:shd w:val="clear" w:color="auto" w:fill="92D050"/>
            <w:vAlign w:val="bottom"/>
          </w:tcPr>
          <w:p w:rsidR="00B73111" w:rsidRPr="00B73111" w:rsidRDefault="00B73111" w:rsidP="002C72C1">
            <w:pPr>
              <w:spacing w:after="0" w:line="240" w:lineRule="auto"/>
              <w:jc w:val="center"/>
              <w:rPr>
                <w:sz w:val="20"/>
                <w:szCs w:val="20"/>
              </w:rPr>
            </w:pPr>
            <w:r w:rsidRPr="00B73111">
              <w:rPr>
                <w:sz w:val="20"/>
                <w:szCs w:val="20"/>
              </w:rPr>
              <w:t>B</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DOL</w:t>
            </w:r>
            <w:r w:rsidR="00B41D40" w:rsidRPr="00B73111">
              <w:rPr>
                <w:rFonts w:eastAsia="Times New Roman" w:cs="Times New Roman"/>
                <w:noProof/>
                <w:color w:val="000000"/>
                <w:sz w:val="20"/>
                <w:szCs w:val="20"/>
              </w:rPr>
              <w:drawing>
                <wp:inline distT="0" distB="0" distL="0" distR="0" wp14:anchorId="47FACC72" wp14:editId="7B8214EA">
                  <wp:extent cx="122222" cy="995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(24)</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State</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(17)</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FFFF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C</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DOT</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(30)</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Treas.</w:t>
            </w:r>
            <w:r w:rsidRPr="00B73111">
              <w:rPr>
                <w:rFonts w:eastAsia="Times New Roman" w:cs="Times New Roman"/>
                <w:noProof/>
                <w:color w:val="000000"/>
                <w:sz w:val="20"/>
                <w:szCs w:val="20"/>
              </w:rPr>
              <w:drawing>
                <wp:inline distT="0" distB="0" distL="0" distR="0" wp14:anchorId="48695D9A" wp14:editId="0D38BBE2">
                  <wp:extent cx="122222" cy="995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(86)</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92D050"/>
          </w:tcPr>
          <w:p w:rsidR="00B73111" w:rsidRPr="00B73111" w:rsidRDefault="00B73111" w:rsidP="002C72C1">
            <w:pPr>
              <w:spacing w:after="0" w:line="240" w:lineRule="auto"/>
              <w:jc w:val="center"/>
              <w:rPr>
                <w:sz w:val="20"/>
              </w:rPr>
            </w:pPr>
            <w:r w:rsidRPr="00B73111">
              <w:rPr>
                <w:sz w:val="20"/>
              </w:rPr>
              <w:t>B</w:t>
            </w:r>
          </w:p>
        </w:tc>
        <w:tc>
          <w:tcPr>
            <w:tcW w:w="634" w:type="dxa"/>
            <w:shd w:val="clear" w:color="auto" w:fill="92D050"/>
            <w:vAlign w:val="bottom"/>
          </w:tcPr>
          <w:p w:rsidR="00B73111" w:rsidRPr="00B73111" w:rsidRDefault="00B73111" w:rsidP="002C72C1">
            <w:pPr>
              <w:spacing w:after="0" w:line="240" w:lineRule="auto"/>
              <w:jc w:val="center"/>
              <w:rPr>
                <w:sz w:val="20"/>
                <w:szCs w:val="20"/>
              </w:rPr>
            </w:pPr>
            <w:r w:rsidRPr="00B73111">
              <w:rPr>
                <w:sz w:val="20"/>
                <w:szCs w:val="20"/>
              </w:rPr>
              <w:t>B</w:t>
            </w:r>
          </w:p>
        </w:tc>
        <w:tc>
          <w:tcPr>
            <w:tcW w:w="634" w:type="dxa"/>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FFC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D</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VA</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12% (66)</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p>
        </w:tc>
        <w:tc>
          <w:tcPr>
            <w:tcW w:w="634" w:type="dxa"/>
            <w:shd w:val="clear" w:color="auto" w:fill="C00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F</w:t>
            </w:r>
          </w:p>
        </w:tc>
        <w:tc>
          <w:tcPr>
            <w:tcW w:w="634" w:type="dxa"/>
            <w:shd w:val="clear" w:color="auto" w:fill="C00000"/>
          </w:tcPr>
          <w:p w:rsidR="00B73111" w:rsidRPr="00B73111" w:rsidRDefault="00B73111" w:rsidP="002C72C1">
            <w:pPr>
              <w:spacing w:after="0" w:line="240" w:lineRule="auto"/>
              <w:jc w:val="center"/>
              <w:rPr>
                <w:sz w:val="20"/>
              </w:rPr>
            </w:pPr>
            <w:r w:rsidRPr="00B73111">
              <w:rPr>
                <w:sz w:val="20"/>
              </w:rPr>
              <w:t>F</w:t>
            </w:r>
          </w:p>
        </w:tc>
        <w:tc>
          <w:tcPr>
            <w:tcW w:w="634" w:type="dxa"/>
            <w:shd w:val="clear" w:color="auto" w:fill="C00000"/>
            <w:vAlign w:val="bottom"/>
          </w:tcPr>
          <w:p w:rsidR="00B73111" w:rsidRPr="00B73111" w:rsidRDefault="00B73111" w:rsidP="002C72C1">
            <w:pPr>
              <w:spacing w:after="0" w:line="240" w:lineRule="auto"/>
              <w:jc w:val="center"/>
              <w:rPr>
                <w:sz w:val="20"/>
                <w:szCs w:val="20"/>
              </w:rPr>
            </w:pPr>
            <w:r w:rsidRPr="00B73111">
              <w:rPr>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FFC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D</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EPA</w:t>
            </w:r>
            <w:r w:rsidR="00B41D40" w:rsidRPr="00B73111">
              <w:rPr>
                <w:rFonts w:eastAsia="Times New Roman" w:cs="Times New Roman"/>
                <w:noProof/>
                <w:color w:val="000000"/>
                <w:sz w:val="20"/>
                <w:szCs w:val="20"/>
              </w:rPr>
              <w:drawing>
                <wp:inline distT="0" distB="0" distL="0" distR="0" wp14:anchorId="548C85E5" wp14:editId="2DF99642">
                  <wp:extent cx="122222" cy="99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r w:rsidRPr="00D07DD9">
              <w:rPr>
                <w:rFonts w:cs="Arial"/>
                <w:color w:val="00B05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GSA</w:t>
            </w:r>
            <w:r w:rsidRPr="00B73111">
              <w:rPr>
                <w:rFonts w:eastAsia="Times New Roman" w:cs="Times New Roman"/>
                <w:noProof/>
                <w:color w:val="000000"/>
                <w:sz w:val="20"/>
                <w:szCs w:val="20"/>
              </w:rPr>
              <w:drawing>
                <wp:inline distT="0" distB="0" distL="0" distR="0" wp14:anchorId="5B062350" wp14:editId="15859CE4">
                  <wp:extent cx="122222" cy="995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(8)</w:t>
            </w:r>
          </w:p>
        </w:tc>
        <w:tc>
          <w:tcPr>
            <w:tcW w:w="857" w:type="dxa"/>
            <w:shd w:val="clear" w:color="auto" w:fill="auto"/>
            <w:vAlign w:val="bottom"/>
          </w:tcPr>
          <w:p w:rsidR="00B73111" w:rsidRPr="00D07DD9" w:rsidRDefault="00D07DD9"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sz w:val="20"/>
                <w:szCs w:val="20"/>
              </w:rPr>
              <w:t>●●●●</w:t>
            </w:r>
          </w:p>
        </w:tc>
        <w:tc>
          <w:tcPr>
            <w:tcW w:w="634" w:type="dxa"/>
            <w:shd w:val="clear" w:color="auto" w:fill="0070C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A</w:t>
            </w:r>
          </w:p>
        </w:tc>
        <w:tc>
          <w:tcPr>
            <w:tcW w:w="634" w:type="dxa"/>
            <w:shd w:val="clear" w:color="auto" w:fill="0070C0"/>
          </w:tcPr>
          <w:p w:rsidR="00B73111" w:rsidRPr="00B73111" w:rsidRDefault="00B73111" w:rsidP="002C72C1">
            <w:pPr>
              <w:spacing w:after="0" w:line="240" w:lineRule="auto"/>
              <w:jc w:val="center"/>
              <w:rPr>
                <w:sz w:val="20"/>
              </w:rPr>
            </w:pPr>
            <w:r w:rsidRPr="00B73111">
              <w:rPr>
                <w:sz w:val="20"/>
              </w:rPr>
              <w:t>A</w:t>
            </w:r>
          </w:p>
        </w:tc>
        <w:tc>
          <w:tcPr>
            <w:tcW w:w="634" w:type="dxa"/>
            <w:shd w:val="clear" w:color="auto" w:fill="0070C0"/>
            <w:vAlign w:val="bottom"/>
          </w:tcPr>
          <w:p w:rsidR="00B73111" w:rsidRPr="00B73111" w:rsidRDefault="00B73111" w:rsidP="002C72C1">
            <w:pPr>
              <w:spacing w:after="0" w:line="240" w:lineRule="auto"/>
              <w:jc w:val="center"/>
              <w:rPr>
                <w:sz w:val="20"/>
                <w:szCs w:val="20"/>
              </w:rPr>
            </w:pPr>
            <w:r w:rsidRPr="00B73111">
              <w:rPr>
                <w:sz w:val="20"/>
                <w:szCs w:val="20"/>
              </w:rPr>
              <w:t>A</w:t>
            </w:r>
          </w:p>
        </w:tc>
        <w:tc>
          <w:tcPr>
            <w:tcW w:w="634" w:type="dxa"/>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shd w:val="clear" w:color="auto" w:fill="FFC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D</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FFC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D</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NASA</w:t>
            </w:r>
            <w:r w:rsidRPr="00B73111">
              <w:rPr>
                <w:rFonts w:eastAsia="Times New Roman" w:cs="Times New Roman"/>
                <w:noProof/>
                <w:color w:val="000000"/>
                <w:sz w:val="20"/>
                <w:szCs w:val="20"/>
              </w:rPr>
              <w:drawing>
                <wp:inline distT="0" distB="0" distL="0" distR="0" wp14:anchorId="41E08EBA" wp14:editId="5ED03C60">
                  <wp:extent cx="122222" cy="995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(15)</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92D050"/>
          </w:tcPr>
          <w:p w:rsidR="00B73111" w:rsidRPr="00B73111" w:rsidRDefault="00B73111" w:rsidP="002C72C1">
            <w:pPr>
              <w:spacing w:after="0" w:line="240" w:lineRule="auto"/>
              <w:jc w:val="center"/>
              <w:rPr>
                <w:sz w:val="20"/>
              </w:rPr>
            </w:pPr>
            <w:r w:rsidRPr="00B73111">
              <w:rPr>
                <w:sz w:val="20"/>
              </w:rPr>
              <w:t>B</w:t>
            </w:r>
          </w:p>
        </w:tc>
        <w:tc>
          <w:tcPr>
            <w:tcW w:w="634" w:type="dxa"/>
            <w:shd w:val="clear" w:color="auto" w:fill="92D050"/>
            <w:vAlign w:val="bottom"/>
          </w:tcPr>
          <w:p w:rsidR="00B73111" w:rsidRPr="00B73111" w:rsidRDefault="00B73111" w:rsidP="002C72C1">
            <w:pPr>
              <w:spacing w:after="0" w:line="240" w:lineRule="auto"/>
              <w:jc w:val="center"/>
              <w:rPr>
                <w:sz w:val="20"/>
                <w:szCs w:val="20"/>
              </w:rPr>
            </w:pPr>
            <w:r w:rsidRPr="00B73111">
              <w:rPr>
                <w:sz w:val="20"/>
                <w:szCs w:val="20"/>
              </w:rPr>
              <w:t>B</w:t>
            </w:r>
          </w:p>
        </w:tc>
        <w:tc>
          <w:tcPr>
            <w:tcW w:w="634" w:type="dxa"/>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NSF</w:t>
            </w:r>
            <w:r w:rsidRPr="00B73111">
              <w:rPr>
                <w:rFonts w:eastAsia="Times New Roman" w:cs="Times New Roman"/>
                <w:noProof/>
                <w:color w:val="000000"/>
                <w:sz w:val="20"/>
                <w:szCs w:val="20"/>
              </w:rPr>
              <w:drawing>
                <wp:inline distT="0" distB="0" distL="0" distR="0" wp14:anchorId="75A921AA" wp14:editId="747D5B15">
                  <wp:extent cx="122222" cy="99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shd w:val="clear" w:color="auto" w:fill="auto"/>
            <w:vAlign w:val="bottom"/>
          </w:tcPr>
          <w:p w:rsidR="00B73111" w:rsidRPr="00D07DD9" w:rsidRDefault="00D07DD9"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r w:rsidRPr="00D07DD9">
              <w:rPr>
                <w:rFonts w:cs="Arial"/>
                <w:color w:val="00B05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0070C0"/>
          </w:tcPr>
          <w:p w:rsidR="00B73111" w:rsidRPr="00B73111" w:rsidRDefault="00B73111" w:rsidP="002C72C1">
            <w:pPr>
              <w:spacing w:after="0" w:line="240" w:lineRule="auto"/>
              <w:jc w:val="center"/>
              <w:rPr>
                <w:sz w:val="20"/>
              </w:rPr>
            </w:pPr>
            <w:r w:rsidRPr="00B73111">
              <w:rPr>
                <w:sz w:val="20"/>
              </w:rPr>
              <w:t>A</w:t>
            </w:r>
          </w:p>
        </w:tc>
        <w:tc>
          <w:tcPr>
            <w:tcW w:w="634" w:type="dxa"/>
            <w:shd w:val="clear" w:color="auto" w:fill="92D050"/>
            <w:vAlign w:val="bottom"/>
          </w:tcPr>
          <w:p w:rsidR="00B73111" w:rsidRPr="00B73111" w:rsidRDefault="00B73111" w:rsidP="002C72C1">
            <w:pPr>
              <w:spacing w:after="0" w:line="240" w:lineRule="auto"/>
              <w:jc w:val="center"/>
              <w:rPr>
                <w:sz w:val="20"/>
                <w:szCs w:val="20"/>
              </w:rPr>
            </w:pPr>
            <w:r w:rsidRPr="00B73111">
              <w:rPr>
                <w:sz w:val="20"/>
                <w:szCs w:val="20"/>
              </w:rPr>
              <w:t>B</w:t>
            </w:r>
          </w:p>
        </w:tc>
        <w:tc>
          <w:tcPr>
            <w:tcW w:w="634" w:type="dxa"/>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92D05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B</w:t>
            </w:r>
          </w:p>
        </w:tc>
        <w:tc>
          <w:tcPr>
            <w:tcW w:w="634" w:type="dxa"/>
            <w:shd w:val="clear" w:color="auto" w:fill="0070C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A</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NRC</w:t>
            </w:r>
            <w:r w:rsidRPr="00B73111">
              <w:rPr>
                <w:rFonts w:eastAsia="Times New Roman" w:cs="Times New Roman"/>
                <w:noProof/>
                <w:color w:val="000000"/>
                <w:sz w:val="20"/>
                <w:szCs w:val="20"/>
              </w:rPr>
              <w:drawing>
                <wp:inline distT="0" distB="0" distL="0" distR="0" wp14:anchorId="081C3D3A" wp14:editId="3E6592A4">
                  <wp:extent cx="122222" cy="995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(1)</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p>
        </w:tc>
        <w:tc>
          <w:tcPr>
            <w:tcW w:w="634" w:type="dxa"/>
            <w:shd w:val="clear" w:color="auto" w:fill="92D05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B</w:t>
            </w:r>
          </w:p>
        </w:tc>
        <w:tc>
          <w:tcPr>
            <w:tcW w:w="634" w:type="dxa"/>
            <w:shd w:val="clear" w:color="auto" w:fill="92D050"/>
          </w:tcPr>
          <w:p w:rsidR="00B73111" w:rsidRPr="00B73111" w:rsidRDefault="00B73111" w:rsidP="002C72C1">
            <w:pPr>
              <w:spacing w:after="0" w:line="240" w:lineRule="auto"/>
              <w:jc w:val="center"/>
              <w:rPr>
                <w:sz w:val="20"/>
              </w:rPr>
            </w:pPr>
            <w:r w:rsidRPr="00B73111">
              <w:rPr>
                <w:sz w:val="20"/>
              </w:rPr>
              <w:t>B</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92D05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B</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OPM</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21% (22)</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p>
        </w:tc>
        <w:tc>
          <w:tcPr>
            <w:tcW w:w="634" w:type="dxa"/>
            <w:shd w:val="clear" w:color="auto" w:fill="C00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F</w:t>
            </w:r>
          </w:p>
        </w:tc>
        <w:tc>
          <w:tcPr>
            <w:tcW w:w="634" w:type="dxa"/>
            <w:shd w:val="clear" w:color="auto" w:fill="C00000"/>
          </w:tcPr>
          <w:p w:rsidR="00B73111" w:rsidRPr="00B73111" w:rsidRDefault="00B73111" w:rsidP="002C72C1">
            <w:pPr>
              <w:spacing w:after="0" w:line="240" w:lineRule="auto"/>
              <w:jc w:val="center"/>
              <w:rPr>
                <w:sz w:val="20"/>
              </w:rPr>
            </w:pPr>
            <w:r w:rsidRPr="00B73111">
              <w:rPr>
                <w:sz w:val="20"/>
              </w:rPr>
              <w:t>F</w:t>
            </w:r>
          </w:p>
        </w:tc>
        <w:tc>
          <w:tcPr>
            <w:tcW w:w="634" w:type="dxa"/>
            <w:shd w:val="clear" w:color="auto" w:fill="FFC000"/>
            <w:vAlign w:val="bottom"/>
          </w:tcPr>
          <w:p w:rsidR="00B73111" w:rsidRPr="00B73111" w:rsidRDefault="00B73111" w:rsidP="002C72C1">
            <w:pPr>
              <w:spacing w:after="0" w:line="240" w:lineRule="auto"/>
              <w:jc w:val="center"/>
              <w:rPr>
                <w:sz w:val="20"/>
                <w:szCs w:val="20"/>
              </w:rPr>
            </w:pPr>
            <w:r w:rsidRPr="00B73111">
              <w:rPr>
                <w:sz w:val="20"/>
                <w:szCs w:val="20"/>
              </w:rPr>
              <w:t>D</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SBA</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100% (1)</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Pr="00D07DD9">
              <w:rPr>
                <w:rFonts w:cs="Arial"/>
                <w:color w:val="C00000"/>
                <w:sz w:val="20"/>
                <w:szCs w:val="20"/>
              </w:rPr>
              <w:t>●●</w:t>
            </w:r>
          </w:p>
        </w:tc>
        <w:tc>
          <w:tcPr>
            <w:tcW w:w="634" w:type="dxa"/>
            <w:shd w:val="clear" w:color="auto" w:fill="FFFF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C</w:t>
            </w:r>
          </w:p>
        </w:tc>
        <w:tc>
          <w:tcPr>
            <w:tcW w:w="634" w:type="dxa"/>
            <w:shd w:val="clear" w:color="auto" w:fill="FFFF00"/>
          </w:tcPr>
          <w:p w:rsidR="00B73111" w:rsidRPr="00B73111" w:rsidRDefault="00B73111" w:rsidP="002C72C1">
            <w:pPr>
              <w:spacing w:after="0" w:line="240" w:lineRule="auto"/>
              <w:jc w:val="center"/>
              <w:rPr>
                <w:sz w:val="20"/>
              </w:rPr>
            </w:pPr>
            <w:r w:rsidRPr="00B73111">
              <w:rPr>
                <w:sz w:val="20"/>
              </w:rPr>
              <w:t>C</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C000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F</w:t>
            </w:r>
          </w:p>
        </w:tc>
        <w:tc>
          <w:tcPr>
            <w:tcW w:w="634" w:type="dxa"/>
            <w:shd w:val="clear" w:color="auto" w:fill="BFBFBF" w:themeFill="background1" w:themeFillShade="BF"/>
            <w:vAlign w:val="bottom"/>
          </w:tcPr>
          <w:p w:rsidR="00B73111" w:rsidRPr="00B73111" w:rsidRDefault="00B73111" w:rsidP="002C72C1">
            <w:pPr>
              <w:autoSpaceDE w:val="0"/>
              <w:autoSpaceDN w:val="0"/>
              <w:adjustRightInd w:val="0"/>
              <w:spacing w:after="0" w:line="240" w:lineRule="auto"/>
              <w:jc w:val="center"/>
              <w:rPr>
                <w:rFonts w:cs="Calibri"/>
                <w:sz w:val="20"/>
                <w:szCs w:val="20"/>
              </w:rPr>
            </w:pPr>
          </w:p>
        </w:tc>
        <w:tc>
          <w:tcPr>
            <w:tcW w:w="634" w:type="dxa"/>
            <w:shd w:val="clear" w:color="auto" w:fill="BFBFBF" w:themeFill="background1" w:themeFillShade="BF"/>
            <w:noWrap/>
            <w:vAlign w:val="bottom"/>
          </w:tcPr>
          <w:p w:rsidR="00B73111" w:rsidRPr="00B73111" w:rsidRDefault="00B73111" w:rsidP="002C72C1">
            <w:pPr>
              <w:spacing w:after="0" w:line="240" w:lineRule="auto"/>
              <w:jc w:val="center"/>
              <w:rPr>
                <w:rFonts w:eastAsia="Times New Roman" w:cs="Times New Roman"/>
                <w:sz w:val="20"/>
                <w:szCs w:val="20"/>
              </w:rPr>
            </w:pPr>
          </w:p>
        </w:tc>
        <w:tc>
          <w:tcPr>
            <w:tcW w:w="634" w:type="dxa"/>
            <w:shd w:val="clear" w:color="000000" w:fill="BFBFBF"/>
            <w:noWrap/>
            <w:vAlign w:val="bottom"/>
          </w:tcPr>
          <w:p w:rsidR="00B73111" w:rsidRPr="00B73111" w:rsidRDefault="00B73111" w:rsidP="002C72C1">
            <w:pPr>
              <w:spacing w:after="0" w:line="240" w:lineRule="auto"/>
              <w:jc w:val="center"/>
              <w:rPr>
                <w:rFonts w:eastAsia="Times New Roman" w:cs="Times New Roman"/>
                <w:sz w:val="20"/>
                <w:szCs w:val="20"/>
              </w:rPr>
            </w:pPr>
          </w:p>
        </w:tc>
      </w:tr>
      <w:tr w:rsidR="00B73111" w:rsidRPr="00B73111" w:rsidTr="00B73111">
        <w:trPr>
          <w:trHeight w:val="173"/>
        </w:trPr>
        <w:tc>
          <w:tcPr>
            <w:tcW w:w="954" w:type="dxa"/>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SSA</w:t>
            </w:r>
          </w:p>
        </w:tc>
        <w:tc>
          <w:tcPr>
            <w:tcW w:w="1296" w:type="dxa"/>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r w:rsidRPr="00B73111">
              <w:rPr>
                <w:rFonts w:cs="Calibri"/>
                <w:color w:val="000000"/>
                <w:sz w:val="20"/>
                <w:szCs w:val="20"/>
              </w:rPr>
              <w:t>1% (165)</w:t>
            </w:r>
          </w:p>
        </w:tc>
        <w:tc>
          <w:tcPr>
            <w:tcW w:w="857" w:type="dxa"/>
            <w:shd w:val="clear" w:color="auto" w:fill="auto"/>
            <w:vAlign w:val="bottom"/>
          </w:tcPr>
          <w:p w:rsidR="00B73111" w:rsidRPr="00D07DD9" w:rsidRDefault="00B73111" w:rsidP="002C72C1">
            <w:pPr>
              <w:autoSpaceDE w:val="0"/>
              <w:autoSpaceDN w:val="0"/>
              <w:adjustRightInd w:val="0"/>
              <w:spacing w:after="0" w:line="240" w:lineRule="auto"/>
              <w:jc w:val="center"/>
              <w:rPr>
                <w:rFonts w:cs="Calibri"/>
                <w:color w:val="000000"/>
                <w:sz w:val="20"/>
                <w:szCs w:val="20"/>
              </w:rPr>
            </w:pPr>
            <w:r w:rsidRPr="00D07DD9">
              <w:rPr>
                <w:rFonts w:cs="Arial"/>
                <w:color w:val="C00000"/>
                <w:sz w:val="20"/>
                <w:szCs w:val="20"/>
              </w:rPr>
              <w:t>●</w:t>
            </w:r>
            <w:r w:rsidRPr="00D07DD9">
              <w:rPr>
                <w:rFonts w:cs="Arial"/>
                <w:color w:val="00B050"/>
                <w:sz w:val="20"/>
                <w:szCs w:val="20"/>
              </w:rPr>
              <w:t>●</w:t>
            </w:r>
            <w:r w:rsidR="00D07DD9" w:rsidRPr="00D07DD9">
              <w:rPr>
                <w:rFonts w:cs="Arial"/>
                <w:color w:val="00B050"/>
                <w:sz w:val="20"/>
                <w:szCs w:val="20"/>
              </w:rPr>
              <w:t>●</w:t>
            </w:r>
            <w:r w:rsidR="00D07DD9">
              <w:rPr>
                <w:rFonts w:cs="Arial"/>
                <w:color w:val="00B050"/>
                <w:sz w:val="20"/>
                <w:szCs w:val="20"/>
              </w:rPr>
              <w:t>●</w:t>
            </w:r>
            <w:r w:rsidR="00D07DD9" w:rsidRPr="00D07DD9">
              <w:rPr>
                <w:rFonts w:cs="Arial"/>
                <w:color w:val="C00000"/>
                <w:sz w:val="20"/>
                <w:szCs w:val="20"/>
              </w:rPr>
              <w:t>●</w:t>
            </w:r>
          </w:p>
        </w:tc>
        <w:tc>
          <w:tcPr>
            <w:tcW w:w="634" w:type="dxa"/>
            <w:shd w:val="clear" w:color="auto" w:fill="FFC00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D</w:t>
            </w:r>
          </w:p>
        </w:tc>
        <w:tc>
          <w:tcPr>
            <w:tcW w:w="634" w:type="dxa"/>
            <w:shd w:val="clear" w:color="auto" w:fill="FFC000"/>
          </w:tcPr>
          <w:p w:rsidR="00B73111" w:rsidRPr="00B73111" w:rsidRDefault="00B73111" w:rsidP="002C72C1">
            <w:pPr>
              <w:spacing w:after="0" w:line="240" w:lineRule="auto"/>
              <w:jc w:val="center"/>
              <w:rPr>
                <w:sz w:val="20"/>
              </w:rPr>
            </w:pPr>
            <w:r w:rsidRPr="00B73111">
              <w:rPr>
                <w:sz w:val="20"/>
              </w:rPr>
              <w:t>D</w:t>
            </w:r>
          </w:p>
        </w:tc>
        <w:tc>
          <w:tcPr>
            <w:tcW w:w="634" w:type="dxa"/>
            <w:shd w:val="clear" w:color="auto" w:fill="FFFF00"/>
            <w:vAlign w:val="bottom"/>
          </w:tcPr>
          <w:p w:rsidR="00B73111" w:rsidRPr="00B73111" w:rsidRDefault="00B73111" w:rsidP="002C72C1">
            <w:pPr>
              <w:spacing w:after="0" w:line="240" w:lineRule="auto"/>
              <w:jc w:val="center"/>
              <w:rPr>
                <w:sz w:val="20"/>
                <w:szCs w:val="20"/>
              </w:rPr>
            </w:pPr>
            <w:r w:rsidRPr="00B73111">
              <w:rPr>
                <w:sz w:val="20"/>
                <w:szCs w:val="20"/>
              </w:rPr>
              <w:t>C</w:t>
            </w:r>
          </w:p>
        </w:tc>
        <w:tc>
          <w:tcPr>
            <w:tcW w:w="634" w:type="dxa"/>
            <w:shd w:val="clear" w:color="auto" w:fill="FFFF0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C</w:t>
            </w:r>
          </w:p>
        </w:tc>
        <w:tc>
          <w:tcPr>
            <w:tcW w:w="634" w:type="dxa"/>
            <w:shd w:val="clear" w:color="auto" w:fill="0070C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A</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c>
          <w:tcPr>
            <w:tcW w:w="634" w:type="dxa"/>
            <w:shd w:val="clear" w:color="auto" w:fill="C00000"/>
            <w:noWrap/>
            <w:vAlign w:val="bottom"/>
          </w:tcPr>
          <w:p w:rsidR="00B73111" w:rsidRPr="00B73111" w:rsidRDefault="00B73111" w:rsidP="002C72C1">
            <w:pPr>
              <w:spacing w:after="0" w:line="240" w:lineRule="auto"/>
              <w:jc w:val="center"/>
              <w:rPr>
                <w:rFonts w:eastAsia="Times New Roman" w:cs="Times New Roman"/>
                <w:sz w:val="20"/>
                <w:szCs w:val="20"/>
              </w:rPr>
            </w:pPr>
            <w:r w:rsidRPr="00B73111">
              <w:rPr>
                <w:rFonts w:eastAsia="Times New Roman" w:cs="Times New Roman"/>
                <w:sz w:val="20"/>
                <w:szCs w:val="20"/>
              </w:rPr>
              <w:t>F</w:t>
            </w:r>
          </w:p>
        </w:tc>
      </w:tr>
      <w:tr w:rsidR="00B73111" w:rsidRPr="00B73111" w:rsidTr="00B73111">
        <w:trPr>
          <w:trHeight w:val="173"/>
        </w:trPr>
        <w:tc>
          <w:tcPr>
            <w:tcW w:w="954" w:type="dxa"/>
            <w:tcBorders>
              <w:bottom w:val="single" w:sz="8" w:space="0" w:color="auto"/>
            </w:tcBorders>
            <w:shd w:val="clear" w:color="auto" w:fill="auto"/>
            <w:noWrap/>
            <w:vAlign w:val="bottom"/>
            <w:hideMark/>
          </w:tcPr>
          <w:p w:rsidR="00B73111" w:rsidRPr="00B73111" w:rsidRDefault="00B73111" w:rsidP="002C72C1">
            <w:pPr>
              <w:spacing w:after="0" w:line="240" w:lineRule="auto"/>
              <w:rPr>
                <w:rFonts w:eastAsia="Times New Roman" w:cs="Times New Roman"/>
                <w:color w:val="000000"/>
                <w:sz w:val="20"/>
                <w:szCs w:val="20"/>
              </w:rPr>
            </w:pPr>
            <w:r w:rsidRPr="00B73111">
              <w:rPr>
                <w:rFonts w:eastAsia="Times New Roman" w:cs="Times New Roman"/>
                <w:color w:val="000000"/>
                <w:sz w:val="20"/>
                <w:szCs w:val="20"/>
              </w:rPr>
              <w:t>USAID</w:t>
            </w:r>
          </w:p>
        </w:tc>
        <w:tc>
          <w:tcPr>
            <w:tcW w:w="1296" w:type="dxa"/>
            <w:tcBorders>
              <w:bottom w:val="single" w:sz="8" w:space="0" w:color="auto"/>
            </w:tcBorders>
            <w:shd w:val="clear" w:color="auto" w:fill="auto"/>
            <w:noWrap/>
          </w:tcPr>
          <w:p w:rsidR="00B73111" w:rsidRPr="00B73111" w:rsidRDefault="00B73111" w:rsidP="002C72C1">
            <w:pPr>
              <w:autoSpaceDE w:val="0"/>
              <w:autoSpaceDN w:val="0"/>
              <w:adjustRightInd w:val="0"/>
              <w:spacing w:after="0" w:line="240" w:lineRule="auto"/>
              <w:jc w:val="center"/>
              <w:rPr>
                <w:rFonts w:cs="Calibri"/>
                <w:color w:val="000000"/>
                <w:sz w:val="20"/>
                <w:szCs w:val="20"/>
              </w:rPr>
            </w:pPr>
          </w:p>
        </w:tc>
        <w:tc>
          <w:tcPr>
            <w:tcW w:w="857" w:type="dxa"/>
            <w:tcBorders>
              <w:bottom w:val="single" w:sz="8" w:space="0" w:color="auto"/>
            </w:tcBorders>
            <w:shd w:val="clear" w:color="auto" w:fill="auto"/>
            <w:vAlign w:val="bottom"/>
          </w:tcPr>
          <w:p w:rsidR="00B73111" w:rsidRPr="00D07DD9" w:rsidRDefault="00D07DD9" w:rsidP="002C72C1">
            <w:pPr>
              <w:autoSpaceDE w:val="0"/>
              <w:autoSpaceDN w:val="0"/>
              <w:adjustRightInd w:val="0"/>
              <w:spacing w:after="0" w:line="240" w:lineRule="auto"/>
              <w:jc w:val="center"/>
              <w:rPr>
                <w:rFonts w:cs="Calibri"/>
                <w:color w:val="000000"/>
                <w:sz w:val="20"/>
                <w:szCs w:val="20"/>
              </w:rPr>
            </w:pPr>
            <w:r>
              <w:rPr>
                <w:rFonts w:cs="Arial"/>
                <w:color w:val="00B050"/>
                <w:sz w:val="20"/>
                <w:szCs w:val="20"/>
              </w:rPr>
              <w:t>●</w:t>
            </w:r>
            <w:r w:rsidR="00B73111" w:rsidRPr="00D07DD9">
              <w:rPr>
                <w:rFonts w:cs="Arial"/>
                <w:sz w:val="20"/>
                <w:szCs w:val="20"/>
              </w:rPr>
              <w:t>●●●●</w:t>
            </w:r>
          </w:p>
        </w:tc>
        <w:tc>
          <w:tcPr>
            <w:tcW w:w="634" w:type="dxa"/>
            <w:tcBorders>
              <w:bottom w:val="single" w:sz="8" w:space="0" w:color="auto"/>
            </w:tcBorders>
            <w:shd w:val="clear" w:color="auto" w:fill="0070C0"/>
          </w:tcPr>
          <w:p w:rsidR="00B73111" w:rsidRPr="00733500" w:rsidRDefault="00B73111" w:rsidP="002C72C1">
            <w:pPr>
              <w:autoSpaceDE w:val="0"/>
              <w:autoSpaceDN w:val="0"/>
              <w:adjustRightInd w:val="0"/>
              <w:spacing w:after="0" w:line="240" w:lineRule="auto"/>
              <w:jc w:val="center"/>
              <w:rPr>
                <w:rFonts w:cs="Calibri"/>
                <w:sz w:val="20"/>
                <w:szCs w:val="20"/>
              </w:rPr>
            </w:pPr>
            <w:r w:rsidRPr="00733500">
              <w:rPr>
                <w:rFonts w:cs="Calibri"/>
                <w:sz w:val="20"/>
                <w:szCs w:val="20"/>
              </w:rPr>
              <w:t>A</w:t>
            </w:r>
          </w:p>
        </w:tc>
        <w:tc>
          <w:tcPr>
            <w:tcW w:w="634" w:type="dxa"/>
            <w:tcBorders>
              <w:bottom w:val="single" w:sz="8" w:space="0" w:color="auto"/>
            </w:tcBorders>
            <w:shd w:val="clear" w:color="auto" w:fill="92D050"/>
          </w:tcPr>
          <w:p w:rsidR="00B73111" w:rsidRPr="00B73111" w:rsidRDefault="00B73111" w:rsidP="002C72C1">
            <w:pPr>
              <w:spacing w:after="0" w:line="240" w:lineRule="auto"/>
              <w:jc w:val="center"/>
              <w:rPr>
                <w:sz w:val="20"/>
              </w:rPr>
            </w:pPr>
            <w:r w:rsidRPr="00B73111">
              <w:rPr>
                <w:sz w:val="20"/>
              </w:rPr>
              <w:t>B</w:t>
            </w:r>
          </w:p>
        </w:tc>
        <w:tc>
          <w:tcPr>
            <w:tcW w:w="634" w:type="dxa"/>
            <w:tcBorders>
              <w:bottom w:val="single" w:sz="8" w:space="0" w:color="auto"/>
            </w:tcBorders>
            <w:shd w:val="clear" w:color="auto" w:fill="92D050"/>
            <w:vAlign w:val="bottom"/>
          </w:tcPr>
          <w:p w:rsidR="00B73111" w:rsidRPr="00B73111" w:rsidRDefault="00B73111" w:rsidP="002C72C1">
            <w:pPr>
              <w:spacing w:after="0" w:line="240" w:lineRule="auto"/>
              <w:jc w:val="center"/>
              <w:rPr>
                <w:sz w:val="20"/>
                <w:szCs w:val="20"/>
              </w:rPr>
            </w:pPr>
            <w:r w:rsidRPr="00B73111">
              <w:rPr>
                <w:sz w:val="20"/>
                <w:szCs w:val="20"/>
              </w:rPr>
              <w:t>B</w:t>
            </w:r>
          </w:p>
        </w:tc>
        <w:tc>
          <w:tcPr>
            <w:tcW w:w="634" w:type="dxa"/>
            <w:tcBorders>
              <w:bottom w:val="single" w:sz="8" w:space="0" w:color="auto"/>
            </w:tcBorders>
            <w:shd w:val="clear" w:color="auto" w:fill="92D050"/>
            <w:vAlign w:val="bottom"/>
          </w:tcPr>
          <w:p w:rsidR="00B73111" w:rsidRPr="00B73111" w:rsidRDefault="00B73111" w:rsidP="002C72C1">
            <w:pPr>
              <w:autoSpaceDE w:val="0"/>
              <w:autoSpaceDN w:val="0"/>
              <w:adjustRightInd w:val="0"/>
              <w:spacing w:after="0" w:line="240" w:lineRule="auto"/>
              <w:jc w:val="center"/>
              <w:rPr>
                <w:rFonts w:cs="Calibri"/>
                <w:sz w:val="20"/>
                <w:szCs w:val="20"/>
              </w:rPr>
            </w:pPr>
            <w:r w:rsidRPr="00B73111">
              <w:rPr>
                <w:rFonts w:cs="Calibri"/>
                <w:sz w:val="20"/>
                <w:szCs w:val="20"/>
              </w:rPr>
              <w:t>B</w:t>
            </w:r>
          </w:p>
        </w:tc>
        <w:tc>
          <w:tcPr>
            <w:tcW w:w="634" w:type="dxa"/>
            <w:tcBorders>
              <w:bottom w:val="single" w:sz="8" w:space="0" w:color="auto"/>
            </w:tcBorders>
            <w:shd w:val="clear" w:color="auto" w:fill="BFBFBF" w:themeFill="background1" w:themeFillShade="BF"/>
            <w:vAlign w:val="bottom"/>
          </w:tcPr>
          <w:p w:rsidR="00B73111" w:rsidRPr="00B73111" w:rsidRDefault="00B73111" w:rsidP="002C72C1">
            <w:pPr>
              <w:autoSpaceDE w:val="0"/>
              <w:autoSpaceDN w:val="0"/>
              <w:adjustRightInd w:val="0"/>
              <w:spacing w:after="0" w:line="240" w:lineRule="auto"/>
              <w:jc w:val="center"/>
              <w:rPr>
                <w:rFonts w:cs="Calibri"/>
                <w:sz w:val="20"/>
                <w:szCs w:val="20"/>
              </w:rPr>
            </w:pPr>
          </w:p>
        </w:tc>
        <w:tc>
          <w:tcPr>
            <w:tcW w:w="634" w:type="dxa"/>
            <w:tcBorders>
              <w:bottom w:val="single" w:sz="8" w:space="0" w:color="auto"/>
            </w:tcBorders>
            <w:shd w:val="clear" w:color="auto" w:fill="BFBFBF" w:themeFill="background1" w:themeFillShade="BF"/>
            <w:noWrap/>
            <w:vAlign w:val="bottom"/>
          </w:tcPr>
          <w:p w:rsidR="00B73111" w:rsidRPr="00B73111" w:rsidRDefault="00B73111" w:rsidP="002C72C1">
            <w:pPr>
              <w:spacing w:after="0" w:line="240" w:lineRule="auto"/>
              <w:jc w:val="center"/>
              <w:rPr>
                <w:rFonts w:eastAsia="Times New Roman" w:cs="Times New Roman"/>
                <w:sz w:val="20"/>
                <w:szCs w:val="20"/>
              </w:rPr>
            </w:pPr>
          </w:p>
        </w:tc>
        <w:tc>
          <w:tcPr>
            <w:tcW w:w="634" w:type="dxa"/>
            <w:tcBorders>
              <w:bottom w:val="single" w:sz="8" w:space="0" w:color="auto"/>
            </w:tcBorders>
            <w:shd w:val="clear" w:color="000000" w:fill="BFBFBF"/>
            <w:noWrap/>
            <w:vAlign w:val="bottom"/>
          </w:tcPr>
          <w:p w:rsidR="00B73111" w:rsidRPr="00B73111" w:rsidRDefault="00B73111" w:rsidP="002C72C1">
            <w:pPr>
              <w:spacing w:after="0" w:line="240" w:lineRule="auto"/>
              <w:jc w:val="center"/>
              <w:rPr>
                <w:rFonts w:eastAsia="Times New Roman" w:cs="Times New Roman"/>
                <w:sz w:val="20"/>
                <w:szCs w:val="20"/>
              </w:rPr>
            </w:pPr>
          </w:p>
        </w:tc>
      </w:tr>
      <w:tr w:rsidR="00CD7689" w:rsidRPr="00B73111" w:rsidTr="00CD7689">
        <w:trPr>
          <w:trHeight w:val="173"/>
        </w:trPr>
        <w:tc>
          <w:tcPr>
            <w:tcW w:w="7545" w:type="dxa"/>
            <w:gridSpan w:val="10"/>
            <w:tcBorders>
              <w:top w:val="single" w:sz="8" w:space="0" w:color="auto"/>
              <w:bottom w:val="nil"/>
            </w:tcBorders>
            <w:shd w:val="clear" w:color="auto" w:fill="auto"/>
            <w:noWrap/>
            <w:vAlign w:val="bottom"/>
          </w:tcPr>
          <w:p w:rsidR="00CD7689" w:rsidRPr="00733500" w:rsidRDefault="00CD7689" w:rsidP="002C72C1">
            <w:pPr>
              <w:spacing w:after="0" w:line="240" w:lineRule="auto"/>
              <w:rPr>
                <w:rFonts w:eastAsia="Times New Roman" w:cs="Times New Roman"/>
                <w:sz w:val="20"/>
                <w:szCs w:val="20"/>
              </w:rPr>
            </w:pPr>
            <w:r w:rsidRPr="00733500">
              <w:rPr>
                <w:rFonts w:eastAsia="Times New Roman" w:cs="Times New Roman"/>
                <w:sz w:val="18"/>
                <w:szCs w:val="20"/>
              </w:rPr>
              <w:t>Note: OMB did not set a savings goal for 6 agencies (Ed., Energy, EPA, NSF, and USAID)</w:t>
            </w:r>
          </w:p>
        </w:tc>
      </w:tr>
    </w:tbl>
    <w:p w:rsidR="00EF045E" w:rsidRPr="008B2287" w:rsidRDefault="001D45D7" w:rsidP="002C72C1">
      <w:pPr>
        <w:pStyle w:val="BodyText"/>
        <w:spacing w:line="240" w:lineRule="auto"/>
      </w:pPr>
      <w:r w:rsidRPr="008B2287">
        <w:rPr>
          <w:rStyle w:val="Heading3Char"/>
          <w:rFonts w:asciiTheme="minorHAnsi" w:hAnsiTheme="minorHAnsi"/>
        </w:rPr>
        <w:t>Calculation</w:t>
      </w:r>
      <w:r w:rsidRPr="008B2287">
        <w:t xml:space="preserve">: </w:t>
      </w:r>
      <w:r w:rsidR="00BE44D9">
        <w:t>This</w:t>
      </w:r>
      <w:r w:rsidR="00AD28AC">
        <w:t xml:space="preserve"> </w:t>
      </w:r>
      <w:r w:rsidR="00B17CCC">
        <w:t>calculation combines data center savings, metrics, and closures. Savings and metrics are e</w:t>
      </w:r>
      <w:r w:rsidR="002332EA">
        <w:t xml:space="preserve">ach </w:t>
      </w:r>
      <w:r w:rsidR="002F3FF0">
        <w:t>part</w:t>
      </w:r>
      <w:r w:rsidR="002332EA">
        <w:t xml:space="preserve"> </w:t>
      </w:r>
      <w:r w:rsidR="002F3FF0">
        <w:t>half</w:t>
      </w:r>
      <w:r w:rsidR="002332EA">
        <w:t xml:space="preserve"> of the grade, </w:t>
      </w:r>
      <w:r w:rsidR="00F02B1B">
        <w:t xml:space="preserve">and </w:t>
      </w:r>
      <w:r w:rsidR="002332EA">
        <w:t xml:space="preserve">the result is </w:t>
      </w:r>
      <w:r w:rsidR="00F02B1B">
        <w:t xml:space="preserve">adjusted up if an agency </w:t>
      </w:r>
      <w:r w:rsidR="00F20822" w:rsidRPr="00F20822">
        <w:t xml:space="preserve">had </w:t>
      </w:r>
      <w:r w:rsidR="00B16155">
        <w:t xml:space="preserve">closed more than 50% of </w:t>
      </w:r>
      <w:r w:rsidR="008E4680">
        <w:t xml:space="preserve">its </w:t>
      </w:r>
      <w:r w:rsidR="00B16155">
        <w:t xml:space="preserve">total data centers </w:t>
      </w:r>
      <w:r w:rsidR="008162BD">
        <w:br/>
      </w:r>
      <w:r w:rsidR="00BD7141">
        <w:t>(</w:t>
      </w:r>
      <w:r w:rsidR="00363CDC">
        <w:rPr>
          <w:rFonts w:ascii="Calibri" w:eastAsia="Times New Roman" w:hAnsi="Calibri" w:cs="Times New Roman"/>
          <w:noProof/>
          <w:color w:val="000000"/>
          <w:sz w:val="20"/>
          <w:szCs w:val="20"/>
        </w:rPr>
        <w:drawing>
          <wp:inline distT="0" distB="0" distL="0" distR="0" wp14:anchorId="59B77CBC" wp14:editId="6F392C5C">
            <wp:extent cx="122222" cy="99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17859" t="24901" r="24041" b="18289"/>
                    <a:stretch/>
                  </pic:blipFill>
                  <pic:spPr bwMode="auto">
                    <a:xfrm>
                      <a:off x="0" y="0"/>
                      <a:ext cx="126749" cy="103277"/>
                    </a:xfrm>
                    <a:prstGeom prst="rect">
                      <a:avLst/>
                    </a:prstGeom>
                    <a:noFill/>
                    <a:ln>
                      <a:noFill/>
                    </a:ln>
                    <a:extLst>
                      <a:ext uri="{53640926-AAD7-44D8-BBD7-CCE9431645EC}">
                        <a14:shadowObscured xmlns:a14="http://schemas.microsoft.com/office/drawing/2010/main"/>
                      </a:ext>
                    </a:extLst>
                  </pic:spPr>
                </pic:pic>
              </a:graphicData>
            </a:graphic>
          </wp:inline>
        </w:drawing>
      </w:r>
      <w:r w:rsidR="00BD7141">
        <w:t>)</w:t>
      </w:r>
      <w:r w:rsidR="00F20822" w:rsidRPr="00F20822">
        <w:t>.</w:t>
      </w:r>
      <w:r w:rsidR="00F02B1B">
        <w:t xml:space="preserve"> </w:t>
      </w:r>
      <w:r w:rsidR="00BE44D9" w:rsidRPr="00407879">
        <w:t xml:space="preserve">For example, </w:t>
      </w:r>
      <w:r w:rsidR="00B41D40">
        <w:t>USDA</w:t>
      </w:r>
      <w:r w:rsidR="00BE44D9" w:rsidRPr="00E83EA5">
        <w:t xml:space="preserve"> met its planned savings goal (</w:t>
      </w:r>
      <w:r w:rsidR="00BE44D9" w:rsidRPr="00B41D40">
        <w:t>A</w:t>
      </w:r>
      <w:r w:rsidR="00BE44D9" w:rsidRPr="00E83EA5">
        <w:t xml:space="preserve">), but failed to meet </w:t>
      </w:r>
      <w:r w:rsidR="00B41D40">
        <w:t>4</w:t>
      </w:r>
      <w:r w:rsidR="00BE44D9" w:rsidRPr="00E83EA5">
        <w:t xml:space="preserve"> metrics (</w:t>
      </w:r>
      <w:r w:rsidR="00B41D40">
        <w:t>F</w:t>
      </w:r>
      <w:r w:rsidR="00462D4D" w:rsidRPr="00E83EA5">
        <w:t xml:space="preserve">). The resulting </w:t>
      </w:r>
      <w:r w:rsidR="00B41D40">
        <w:t>C</w:t>
      </w:r>
      <w:r w:rsidR="00BE44D9" w:rsidRPr="00E83EA5">
        <w:t xml:space="preserve"> was adjusted to a </w:t>
      </w:r>
      <w:r w:rsidR="00B41D40">
        <w:t>B</w:t>
      </w:r>
      <w:r w:rsidR="00BE44D9" w:rsidRPr="00E83EA5">
        <w:t xml:space="preserve"> because </w:t>
      </w:r>
      <w:r w:rsidR="00B41D40">
        <w:t>USDA</w:t>
      </w:r>
      <w:r w:rsidR="00462D4D" w:rsidRPr="00E83EA5">
        <w:t xml:space="preserve"> </w:t>
      </w:r>
      <w:r w:rsidR="00BE44D9" w:rsidRPr="00E83EA5">
        <w:t xml:space="preserve">achieved more than 50% of </w:t>
      </w:r>
      <w:r w:rsidR="008E4680" w:rsidRPr="00E83EA5">
        <w:t xml:space="preserve">its </w:t>
      </w:r>
      <w:r w:rsidR="00BE44D9" w:rsidRPr="00E83EA5">
        <w:t>planned closures.</w:t>
      </w:r>
    </w:p>
    <w:p w:rsidR="00EF045E" w:rsidRPr="008B2287" w:rsidRDefault="005827D3" w:rsidP="002C72C1">
      <w:pPr>
        <w:pStyle w:val="BodyText"/>
        <w:spacing w:line="240" w:lineRule="auto"/>
      </w:pPr>
      <w:r w:rsidRPr="008B2287">
        <w:rPr>
          <w:rStyle w:val="Heading3Char"/>
          <w:rFonts w:asciiTheme="minorHAnsi" w:hAnsiTheme="minorHAnsi"/>
        </w:rPr>
        <w:t>Data source</w:t>
      </w:r>
      <w:r w:rsidR="006878BA" w:rsidRPr="008B2287">
        <w:rPr>
          <w:rStyle w:val="Heading3Char"/>
          <w:rFonts w:asciiTheme="minorHAnsi" w:hAnsiTheme="minorHAnsi"/>
        </w:rPr>
        <w:t xml:space="preserve"> (quarterly)</w:t>
      </w:r>
      <w:r w:rsidR="003F35E7" w:rsidRPr="008B2287">
        <w:rPr>
          <w:rStyle w:val="Heading3Char"/>
          <w:rFonts w:asciiTheme="minorHAnsi" w:hAnsiTheme="minorHAnsi"/>
        </w:rPr>
        <w:t>:</w:t>
      </w:r>
      <w:r w:rsidR="003F35E7" w:rsidRPr="008B2287">
        <w:t xml:space="preserve"> </w:t>
      </w:r>
      <w:r w:rsidR="009774BE">
        <w:t>Agencies</w:t>
      </w:r>
      <w:r w:rsidR="00BD7141">
        <w:t>’</w:t>
      </w:r>
      <w:r w:rsidR="009774BE">
        <w:t xml:space="preserve"> </w:t>
      </w:r>
      <w:r w:rsidR="00316CAC">
        <w:t xml:space="preserve">quarterly data center </w:t>
      </w:r>
      <w:r w:rsidR="00C048C5">
        <w:t>submissions</w:t>
      </w:r>
      <w:r w:rsidR="003F2924" w:rsidRPr="008B2287">
        <w:t>.</w:t>
      </w:r>
    </w:p>
    <w:p w:rsidR="00CB6953" w:rsidRPr="008B2287" w:rsidRDefault="00CB6953" w:rsidP="002C72C1">
      <w:pPr>
        <w:pStyle w:val="BodyText"/>
        <w:spacing w:line="240" w:lineRule="auto"/>
      </w:pPr>
      <w:r w:rsidRPr="008B2287">
        <w:rPr>
          <w:rStyle w:val="Heading3Char"/>
          <w:rFonts w:asciiTheme="minorHAnsi" w:hAnsiTheme="minorHAnsi"/>
        </w:rPr>
        <w:t>Highest-rated agencies</w:t>
      </w:r>
      <w:r w:rsidRPr="008B2287">
        <w:t xml:space="preserve">: </w:t>
      </w:r>
      <w:r w:rsidR="00E83EA5">
        <w:t>Four</w:t>
      </w:r>
      <w:r w:rsidRPr="008B2287">
        <w:t xml:space="preserve"> age</w:t>
      </w:r>
      <w:r w:rsidRPr="005C6D40">
        <w:t>ncies—</w:t>
      </w:r>
      <w:r w:rsidR="00A20739" w:rsidRPr="008D0581">
        <w:t xml:space="preserve">Education, </w:t>
      </w:r>
      <w:r w:rsidR="002D74C6" w:rsidRPr="008D0581">
        <w:t>HUD</w:t>
      </w:r>
      <w:r w:rsidR="00A20739" w:rsidRPr="008D0581">
        <w:t>, GSA</w:t>
      </w:r>
      <w:r w:rsidR="00E83EA5" w:rsidRPr="008D0581">
        <w:t xml:space="preserve">, and </w:t>
      </w:r>
      <w:r w:rsidR="008D0581" w:rsidRPr="008D0581">
        <w:t>USAID</w:t>
      </w:r>
      <w:r w:rsidRPr="005C6D40">
        <w:t xml:space="preserve">—received A grades. </w:t>
      </w:r>
      <w:r w:rsidR="00A20739" w:rsidRPr="00733500">
        <w:t>Education and HUD</w:t>
      </w:r>
      <w:r w:rsidR="00036BD7" w:rsidRPr="00733500">
        <w:t xml:space="preserve"> </w:t>
      </w:r>
      <w:r w:rsidR="00BE44D9" w:rsidRPr="00733500">
        <w:t>have no agency-run data centers</w:t>
      </w:r>
      <w:r w:rsidR="00B41D40" w:rsidRPr="00733500">
        <w:t xml:space="preserve"> and were rewarded with an </w:t>
      </w:r>
      <w:r w:rsidR="00A20739" w:rsidRPr="00733500">
        <w:t>A</w:t>
      </w:r>
      <w:r w:rsidR="00B41D40" w:rsidRPr="00733500">
        <w:t>.</w:t>
      </w:r>
    </w:p>
    <w:p w:rsidR="00CB6953" w:rsidRPr="008B2287" w:rsidRDefault="00CB6953" w:rsidP="002C72C1">
      <w:pPr>
        <w:pStyle w:val="BodyText"/>
        <w:spacing w:line="240" w:lineRule="auto"/>
      </w:pPr>
      <w:r w:rsidRPr="008B2287">
        <w:rPr>
          <w:rStyle w:val="Heading3Char"/>
          <w:rFonts w:asciiTheme="minorHAnsi" w:hAnsiTheme="minorHAnsi"/>
        </w:rPr>
        <w:t>Lowest-rated agencies</w:t>
      </w:r>
      <w:r w:rsidRPr="008B2287">
        <w:t>:</w:t>
      </w:r>
      <w:r w:rsidR="00462D4D">
        <w:t xml:space="preserve"> </w:t>
      </w:r>
      <w:r w:rsidR="005C6D40">
        <w:t>Five</w:t>
      </w:r>
      <w:r w:rsidRPr="008B2287">
        <w:t xml:space="preserve"> agencies received failing grades. For instance, </w:t>
      </w:r>
      <w:r w:rsidR="00733500" w:rsidRPr="00733500">
        <w:t>VA</w:t>
      </w:r>
      <w:r w:rsidR="00036BD7" w:rsidRPr="00733500">
        <w:t xml:space="preserve"> </w:t>
      </w:r>
      <w:r w:rsidRPr="00733500">
        <w:t xml:space="preserve">reportedly saved </w:t>
      </w:r>
      <w:r w:rsidR="00733500" w:rsidRPr="00733500">
        <w:t>12</w:t>
      </w:r>
      <w:r w:rsidR="005A4071" w:rsidRPr="00733500">
        <w:t xml:space="preserve">% </w:t>
      </w:r>
      <w:r w:rsidRPr="00733500">
        <w:t xml:space="preserve">of its </w:t>
      </w:r>
      <w:r w:rsidR="00733500" w:rsidRPr="00733500">
        <w:t xml:space="preserve">$66 million savings </w:t>
      </w:r>
      <w:r w:rsidR="00462D4D" w:rsidRPr="00733500">
        <w:t>goal</w:t>
      </w:r>
      <w:r w:rsidR="005A4071" w:rsidRPr="00733500">
        <w:t xml:space="preserve"> and didn’t meet any optimization metrics</w:t>
      </w:r>
      <w:r w:rsidRPr="00733500">
        <w:t>.</w:t>
      </w:r>
    </w:p>
    <w:p w:rsidR="00BD7141" w:rsidRDefault="005827D3" w:rsidP="002C72C1">
      <w:pPr>
        <w:pStyle w:val="BodyText"/>
        <w:spacing w:line="240" w:lineRule="auto"/>
      </w:pPr>
      <w:r w:rsidRPr="008B2287">
        <w:rPr>
          <w:rStyle w:val="Heading3Char"/>
          <w:rFonts w:asciiTheme="minorHAnsi" w:hAnsiTheme="minorHAnsi"/>
        </w:rPr>
        <w:t>GAO reports</w:t>
      </w:r>
      <w:r w:rsidR="001D45D7" w:rsidRPr="008B2287">
        <w:rPr>
          <w:rStyle w:val="Heading3Char"/>
          <w:rFonts w:asciiTheme="minorHAnsi" w:hAnsiTheme="minorHAnsi"/>
        </w:rPr>
        <w:t>:</w:t>
      </w:r>
      <w:r w:rsidR="001D45D7" w:rsidRPr="008B2287">
        <w:t xml:space="preserve"> </w:t>
      </w:r>
      <w:r w:rsidR="0042136A" w:rsidRPr="00D06B74">
        <w:t>In a series of reports</w:t>
      </w:r>
      <w:r w:rsidR="00664AF7">
        <w:t xml:space="preserve"> (</w:t>
      </w:r>
      <w:hyperlink r:id="rId14" w:history="1">
        <w:r w:rsidR="00664AF7">
          <w:rPr>
            <w:rStyle w:val="Hyperlink"/>
          </w:rPr>
          <w:t>GAO-17-388</w:t>
        </w:r>
      </w:hyperlink>
      <w:r w:rsidR="00664AF7">
        <w:t xml:space="preserve">, </w:t>
      </w:r>
      <w:hyperlink r:id="rId15" w:history="1">
        <w:r w:rsidR="00664AF7">
          <w:rPr>
            <w:rStyle w:val="Hyperlink"/>
          </w:rPr>
          <w:t>GAO-17-448</w:t>
        </w:r>
      </w:hyperlink>
      <w:r w:rsidR="00664AF7">
        <w:t xml:space="preserve">, and </w:t>
      </w:r>
      <w:hyperlink r:id="rId16" w:history="1">
        <w:r w:rsidR="00664AF7">
          <w:rPr>
            <w:rStyle w:val="Hyperlink"/>
          </w:rPr>
          <w:t>GAO-18-264</w:t>
        </w:r>
      </w:hyperlink>
      <w:r w:rsidR="00664AF7">
        <w:t>)</w:t>
      </w:r>
      <w:r w:rsidR="0042136A" w:rsidRPr="008B2287">
        <w:t xml:space="preserve">, GAO </w:t>
      </w:r>
      <w:r w:rsidR="00664AF7">
        <w:t>described</w:t>
      </w:r>
      <w:r w:rsidR="00036BD7" w:rsidRPr="008B2287">
        <w:t xml:space="preserve"> the potentially </w:t>
      </w:r>
      <w:r w:rsidR="0042136A" w:rsidRPr="008B2287">
        <w:t>billions of dollars</w:t>
      </w:r>
      <w:r w:rsidR="00036BD7" w:rsidRPr="008B2287">
        <w:t xml:space="preserve"> in savings</w:t>
      </w:r>
      <w:r w:rsidR="0042136A" w:rsidRPr="008B2287">
        <w:t xml:space="preserve">. </w:t>
      </w:r>
      <w:r w:rsidR="0042136A" w:rsidRPr="004C466C">
        <w:t xml:space="preserve">GAO </w:t>
      </w:r>
      <w:r w:rsidR="00BE44D9" w:rsidRPr="004C466C">
        <w:t xml:space="preserve">found </w:t>
      </w:r>
      <w:r w:rsidR="003E379D">
        <w:t xml:space="preserve">issues </w:t>
      </w:r>
      <w:r w:rsidR="00BE44D9" w:rsidRPr="004C466C">
        <w:t xml:space="preserve">in </w:t>
      </w:r>
      <w:r w:rsidR="003E379D">
        <w:t xml:space="preserve">agencies’ </w:t>
      </w:r>
      <w:r w:rsidR="00BE44D9" w:rsidRPr="004C466C">
        <w:t>planned savings</w:t>
      </w:r>
      <w:r w:rsidR="00036BD7" w:rsidRPr="004C466C">
        <w:t xml:space="preserve"> </w:t>
      </w:r>
      <w:r w:rsidR="003E379D">
        <w:t>and limited progress on optimization metrics</w:t>
      </w:r>
      <w:r w:rsidR="00733500">
        <w:t xml:space="preserve"> and </w:t>
      </w:r>
      <w:r w:rsidR="00036BD7" w:rsidRPr="004C466C">
        <w:t xml:space="preserve">made related recommendations </w:t>
      </w:r>
      <w:r w:rsidR="00BE44D9" w:rsidRPr="004C466C">
        <w:t xml:space="preserve">which </w:t>
      </w:r>
      <w:r w:rsidR="00036BD7" w:rsidRPr="004C466C">
        <w:t>agencies generally agreed</w:t>
      </w:r>
      <w:r w:rsidR="00BE44D9" w:rsidRPr="004C466C">
        <w:t xml:space="preserve"> with</w:t>
      </w:r>
      <w:r w:rsidR="0042136A" w:rsidRPr="004C466C">
        <w:t>.</w:t>
      </w:r>
      <w:r w:rsidR="00733500">
        <w:t xml:space="preserve"> In a draft report planned for issuance in early 2019,</w:t>
      </w:r>
      <w:r w:rsidR="00733500" w:rsidRPr="008B2287">
        <w:t xml:space="preserve"> </w:t>
      </w:r>
      <w:r w:rsidR="00733500" w:rsidRPr="004C466C">
        <w:t xml:space="preserve">GAO </w:t>
      </w:r>
      <w:r w:rsidR="00733500">
        <w:t xml:space="preserve">preliminarily found that agencies </w:t>
      </w:r>
      <w:r w:rsidR="00733500" w:rsidRPr="00733500">
        <w:t>continued to report mixed progress toward achieving OMB’s goals for closing data centers and realizing the associated savings</w:t>
      </w:r>
      <w:r w:rsidR="00733500">
        <w:t>.</w:t>
      </w:r>
      <w:r w:rsidR="00F6295A" w:rsidRPr="008B2287">
        <w:rPr>
          <w:rStyle w:val="FootnoteReference"/>
        </w:rPr>
        <w:t xml:space="preserve"> </w:t>
      </w:r>
      <w:r w:rsidR="00BD7141">
        <w:br w:type="page"/>
      </w:r>
    </w:p>
    <w:p w:rsidR="002A22F8" w:rsidRPr="008B2287" w:rsidRDefault="002A22F8" w:rsidP="002C72C1">
      <w:pPr>
        <w:pStyle w:val="Heading2"/>
        <w:pBdr>
          <w:bottom w:val="single" w:sz="4" w:space="1" w:color="auto"/>
        </w:pBdr>
        <w:spacing w:line="240" w:lineRule="auto"/>
        <w:rPr>
          <w:rFonts w:asciiTheme="minorHAnsi" w:hAnsiTheme="minorHAnsi"/>
        </w:rPr>
      </w:pPr>
      <w:r>
        <w:rPr>
          <w:rFonts w:asciiTheme="minorHAnsi" w:hAnsiTheme="minorHAnsi"/>
        </w:rPr>
        <w:lastRenderedPageBreak/>
        <w:t>Software Licensing (included in both FITARA and MEGABYTE)</w:t>
      </w:r>
    </w:p>
    <w:p w:rsidR="002A22F8" w:rsidRPr="00E85C67" w:rsidRDefault="002A22F8" w:rsidP="002C72C1">
      <w:pPr>
        <w:pStyle w:val="BodyText"/>
        <w:spacing w:line="240" w:lineRule="auto"/>
      </w:pPr>
      <w:r w:rsidRPr="00E85C67">
        <w:t xml:space="preserve">FITARA requires </w:t>
      </w:r>
      <w:r w:rsidR="00BE52F0" w:rsidRPr="00E85C67">
        <w:t>GSA to enhance use of software license agreements across all executive agencies.</w:t>
      </w:r>
      <w:r w:rsidRPr="00E85C67">
        <w:t xml:space="preserve"> </w:t>
      </w:r>
      <w:r w:rsidR="00BE52F0" w:rsidRPr="00E85C67">
        <w:t>More recently, the “Making Electronic Government Accountable By Yielding Tangible Efficiencies Act of 2016” (known as “MEGABYTE”)</w:t>
      </w:r>
      <w:r w:rsidR="00E85C67" w:rsidRPr="00E85C67">
        <w:rPr>
          <w:rStyle w:val="FootnoteReference"/>
        </w:rPr>
        <w:footnoteReference w:id="6"/>
      </w:r>
      <w:r w:rsidR="00BE52F0" w:rsidRPr="00E85C67">
        <w:t xml:space="preserve"> required </w:t>
      </w:r>
      <w:r w:rsidRPr="00E85C67">
        <w:t xml:space="preserve">OMB to </w:t>
      </w:r>
      <w:r w:rsidR="00E85C67" w:rsidRPr="00E85C67">
        <w:t>issue a directive to every executive agency CIO to, among other things, establish a comprehensive, regularly updated inventory of software licenses and analyze software usage to make cost-effective decisions</w:t>
      </w:r>
      <w:r w:rsidRPr="00E85C67">
        <w:t>.</w:t>
      </w:r>
    </w:p>
    <w:p w:rsidR="002A22F8" w:rsidRPr="002A22F8" w:rsidRDefault="008C7694" w:rsidP="002C72C1">
      <w:pPr>
        <w:pStyle w:val="BodyText"/>
        <w:spacing w:line="240" w:lineRule="auto"/>
        <w:rPr>
          <w:highlight w:val="yellow"/>
        </w:rPr>
      </w:pPr>
      <w:r w:rsidRPr="008B2287">
        <w:rPr>
          <w:rStyle w:val="Heading3Char"/>
          <w:rFonts w:asciiTheme="minorHAnsi" w:hAnsiTheme="minorHAnsi"/>
        </w:rPr>
        <w:t>Why it’s important</w:t>
      </w:r>
      <w:r w:rsidR="002A22F8" w:rsidRPr="00E85C67">
        <w:t>:</w:t>
      </w:r>
      <w:r w:rsidR="002A22F8" w:rsidRPr="00E85C67">
        <w:rPr>
          <w:b/>
        </w:rPr>
        <w:t xml:space="preserve"> </w:t>
      </w:r>
      <w:r w:rsidR="002941D4" w:rsidRPr="002941D4">
        <w:t>A</w:t>
      </w:r>
      <w:r w:rsidR="00E85C67">
        <w:t xml:space="preserve">gencies could potentially </w:t>
      </w:r>
      <w:r w:rsidR="00E85C67" w:rsidRPr="00E85C67">
        <w:t>achieve hundreds of millions of dollars in government-wide savings, federal agencies should apply better management of software licenses and the Office of Management and Budget should issue a directive to assist agencies in doing so.</w:t>
      </w:r>
    </w:p>
    <w:tbl>
      <w:tblPr>
        <w:tblpPr w:leftFromText="144" w:rightFromText="144" w:vertAnchor="text" w:horzAnchor="margin" w:tblpXSpec="right" w:tblpY="1"/>
        <w:tblOverlap w:val="never"/>
        <w:tblW w:w="8074" w:type="dxa"/>
        <w:tblBorders>
          <w:bottom w:val="single" w:sz="8" w:space="0" w:color="auto"/>
          <w:insideH w:val="single" w:sz="8" w:space="0" w:color="auto"/>
        </w:tblBorders>
        <w:tblLayout w:type="fixed"/>
        <w:tblLook w:val="04A0" w:firstRow="1" w:lastRow="0" w:firstColumn="1" w:lastColumn="0" w:noHBand="0" w:noVBand="1"/>
      </w:tblPr>
      <w:tblGrid>
        <w:gridCol w:w="882"/>
        <w:gridCol w:w="1062"/>
        <w:gridCol w:w="1692"/>
        <w:gridCol w:w="634"/>
        <w:gridCol w:w="634"/>
        <w:gridCol w:w="634"/>
        <w:gridCol w:w="634"/>
        <w:gridCol w:w="634"/>
        <w:gridCol w:w="634"/>
        <w:gridCol w:w="607"/>
        <w:gridCol w:w="27"/>
      </w:tblGrid>
      <w:tr w:rsidR="00D42469" w:rsidRPr="001A333A" w:rsidTr="00D42469">
        <w:trPr>
          <w:trHeight w:val="488"/>
        </w:trPr>
        <w:tc>
          <w:tcPr>
            <w:tcW w:w="882" w:type="dxa"/>
            <w:shd w:val="clear" w:color="auto" w:fill="auto"/>
            <w:noWrap/>
            <w:vAlign w:val="bottom"/>
          </w:tcPr>
          <w:p w:rsidR="00D42469" w:rsidRPr="001A333A" w:rsidRDefault="00D42469" w:rsidP="002C72C1">
            <w:pPr>
              <w:spacing w:after="0" w:line="240" w:lineRule="auto"/>
              <w:rPr>
                <w:rFonts w:eastAsia="Times New Roman" w:cs="Times New Roman"/>
                <w:b/>
                <w:bCs/>
                <w:color w:val="000000"/>
                <w:sz w:val="20"/>
                <w:szCs w:val="20"/>
              </w:rPr>
            </w:pPr>
            <w:r w:rsidRPr="001A333A">
              <w:rPr>
                <w:rFonts w:eastAsia="Times New Roman" w:cs="Times New Roman"/>
                <w:b/>
                <w:bCs/>
                <w:color w:val="000000"/>
                <w:sz w:val="20"/>
                <w:szCs w:val="20"/>
              </w:rPr>
              <w:t>Agency</w:t>
            </w:r>
          </w:p>
        </w:tc>
        <w:tc>
          <w:tcPr>
            <w:tcW w:w="1062" w:type="dxa"/>
            <w:vAlign w:val="bottom"/>
          </w:tcPr>
          <w:p w:rsidR="00D42469" w:rsidRPr="001A333A" w:rsidRDefault="00D42469" w:rsidP="002C72C1">
            <w:pPr>
              <w:spacing w:after="0" w:line="240" w:lineRule="auto"/>
              <w:jc w:val="center"/>
              <w:rPr>
                <w:rFonts w:eastAsia="Times New Roman" w:cs="Times New Roman"/>
                <w:b/>
                <w:bCs/>
                <w:color w:val="000000"/>
                <w:sz w:val="20"/>
                <w:szCs w:val="20"/>
              </w:rPr>
            </w:pPr>
            <w:r w:rsidRPr="001A333A">
              <w:rPr>
                <w:rFonts w:eastAsia="Times New Roman" w:cs="Times New Roman"/>
                <w:b/>
                <w:bCs/>
                <w:color w:val="000000"/>
                <w:sz w:val="20"/>
                <w:szCs w:val="20"/>
              </w:rPr>
              <w:t>Complete inventory</w:t>
            </w:r>
          </w:p>
        </w:tc>
        <w:tc>
          <w:tcPr>
            <w:tcW w:w="1692" w:type="dxa"/>
            <w:vAlign w:val="bottom"/>
          </w:tcPr>
          <w:p w:rsidR="00D42469" w:rsidRPr="001A333A" w:rsidRDefault="00D42469" w:rsidP="002C72C1">
            <w:pPr>
              <w:spacing w:after="0" w:line="240" w:lineRule="auto"/>
              <w:jc w:val="center"/>
              <w:rPr>
                <w:rFonts w:eastAsia="Times New Roman" w:cs="Times New Roman"/>
                <w:b/>
                <w:bCs/>
                <w:color w:val="000000"/>
                <w:sz w:val="20"/>
                <w:szCs w:val="20"/>
              </w:rPr>
            </w:pPr>
            <w:r w:rsidRPr="001A333A">
              <w:rPr>
                <w:rFonts w:eastAsia="Times New Roman" w:cs="Times New Roman"/>
                <w:b/>
                <w:bCs/>
                <w:color w:val="000000"/>
                <w:sz w:val="20"/>
                <w:szCs w:val="20"/>
              </w:rPr>
              <w:t>Inventory used to make $ decisions</w:t>
            </w:r>
          </w:p>
        </w:tc>
        <w:tc>
          <w:tcPr>
            <w:tcW w:w="634" w:type="dxa"/>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Dec. 2018</w:t>
            </w:r>
          </w:p>
        </w:tc>
        <w:tc>
          <w:tcPr>
            <w:tcW w:w="634" w:type="dxa"/>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May 2018</w:t>
            </w:r>
          </w:p>
        </w:tc>
        <w:tc>
          <w:tcPr>
            <w:tcW w:w="634" w:type="dxa"/>
            <w:shd w:val="clear" w:color="auto" w:fill="auto"/>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Nov. 2017</w:t>
            </w:r>
          </w:p>
        </w:tc>
        <w:tc>
          <w:tcPr>
            <w:tcW w:w="634" w:type="dxa"/>
            <w:shd w:val="clear" w:color="auto" w:fill="auto"/>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June 2017</w:t>
            </w:r>
          </w:p>
        </w:tc>
        <w:tc>
          <w:tcPr>
            <w:tcW w:w="634" w:type="dxa"/>
            <w:shd w:val="clear" w:color="auto" w:fill="auto"/>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Dec. 2016</w:t>
            </w:r>
          </w:p>
        </w:tc>
        <w:tc>
          <w:tcPr>
            <w:tcW w:w="634" w:type="dxa"/>
            <w:shd w:val="clear" w:color="auto" w:fill="auto"/>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May 2016</w:t>
            </w:r>
          </w:p>
        </w:tc>
        <w:tc>
          <w:tcPr>
            <w:tcW w:w="634" w:type="dxa"/>
            <w:gridSpan w:val="2"/>
            <w:shd w:val="clear" w:color="auto" w:fill="auto"/>
            <w:vAlign w:val="bottom"/>
          </w:tcPr>
          <w:p w:rsidR="00D42469" w:rsidRPr="001A333A" w:rsidRDefault="00D42469" w:rsidP="002C72C1">
            <w:pPr>
              <w:spacing w:after="0" w:line="240" w:lineRule="auto"/>
              <w:jc w:val="center"/>
              <w:rPr>
                <w:rFonts w:eastAsia="Times New Roman" w:cs="Times New Roman"/>
                <w:b/>
                <w:bCs/>
                <w:sz w:val="20"/>
                <w:szCs w:val="20"/>
              </w:rPr>
            </w:pPr>
            <w:r w:rsidRPr="001A333A">
              <w:rPr>
                <w:rFonts w:eastAsia="Times New Roman" w:cs="Times New Roman"/>
                <w:b/>
                <w:bCs/>
                <w:sz w:val="20"/>
                <w:szCs w:val="20"/>
              </w:rPr>
              <w:t>Nov. 2015</w:t>
            </w: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USDA</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B05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val="restart"/>
            <w:shd w:val="clear" w:color="auto" w:fill="BFBFBF" w:themeFill="background1" w:themeFillShade="BF"/>
            <w:vAlign w:val="center"/>
          </w:tcPr>
          <w:p w:rsidR="001A333A" w:rsidRPr="001A333A" w:rsidRDefault="001A333A" w:rsidP="002C72C1">
            <w:pPr>
              <w:spacing w:after="0" w:line="240" w:lineRule="auto"/>
              <w:jc w:val="center"/>
              <w:rPr>
                <w:rFonts w:eastAsia="Times New Roman" w:cs="Times New Roman"/>
                <w:color w:val="000000"/>
                <w:sz w:val="20"/>
                <w:szCs w:val="20"/>
              </w:rPr>
            </w:pPr>
            <w:r w:rsidRPr="001A333A">
              <w:rPr>
                <w:rFonts w:eastAsia="Times New Roman" w:cs="Times New Roman"/>
                <w:color w:val="000000"/>
                <w:sz w:val="20"/>
                <w:szCs w:val="20"/>
              </w:rPr>
              <w:t>Not previously graded</w:t>
            </w: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DOC</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FFC00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B050"/>
                <w:sz w:val="20"/>
                <w:szCs w:val="20"/>
              </w:rPr>
            </w:pPr>
            <w:r w:rsidRPr="001A333A">
              <w:rPr>
                <w:rFonts w:ascii="Segoe UI Symbol" w:hAnsi="Segoe UI Symbol" w:cs="Segoe UI Symbol"/>
                <w:color w:val="00B05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DOD</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Ed.</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B05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B05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FFFF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C</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Energy</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HHS</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DHS</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HUD</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DOI</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DOJ</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FFFF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C</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DOL</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FFFF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C</w:t>
            </w:r>
          </w:p>
        </w:tc>
        <w:tc>
          <w:tcPr>
            <w:tcW w:w="634" w:type="dxa"/>
            <w:shd w:val="clear" w:color="auto" w:fill="FFFF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C</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State</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DOT</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Treas.</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VA</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EPA</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GSA</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NASA</w:t>
            </w:r>
          </w:p>
        </w:tc>
        <w:tc>
          <w:tcPr>
            <w:tcW w:w="106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NSF</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NRC</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OPM</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FFC000"/>
                <w:sz w:val="20"/>
              </w:rPr>
              <w:t>🌑</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SBA</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SSA</w:t>
            </w:r>
          </w:p>
        </w:tc>
        <w:tc>
          <w:tcPr>
            <w:tcW w:w="106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1692" w:type="dxa"/>
            <w:shd w:val="clear" w:color="auto" w:fill="auto"/>
          </w:tcPr>
          <w:p w:rsidR="001A333A" w:rsidRPr="001A333A" w:rsidRDefault="001A333A" w:rsidP="002C72C1">
            <w:pPr>
              <w:spacing w:after="0" w:line="240" w:lineRule="auto"/>
              <w:jc w:val="center"/>
            </w:pPr>
            <w:r w:rsidRPr="001A333A">
              <w:rPr>
                <w:rFonts w:ascii="Segoe UI Symbol" w:hAnsi="Segoe UI Symbol" w:cs="Segoe UI Symbol"/>
                <w:color w:val="00B050"/>
                <w:sz w:val="20"/>
              </w:rPr>
              <w:t>🌑</w:t>
            </w:r>
          </w:p>
        </w:tc>
        <w:tc>
          <w:tcPr>
            <w:tcW w:w="634" w:type="dxa"/>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shd w:val="clear" w:color="auto" w:fill="C0000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634" w:type="dxa"/>
            <w:shd w:val="clear" w:color="auto" w:fill="C0000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F</w:t>
            </w:r>
          </w:p>
        </w:tc>
        <w:tc>
          <w:tcPr>
            <w:tcW w:w="1875" w:type="dxa"/>
            <w:gridSpan w:val="3"/>
            <w:vMerge/>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r w:rsidR="001A333A" w:rsidRPr="001A333A" w:rsidTr="001A333A">
        <w:trPr>
          <w:gridAfter w:val="1"/>
          <w:wAfter w:w="27" w:type="dxa"/>
          <w:trHeight w:val="173"/>
        </w:trPr>
        <w:tc>
          <w:tcPr>
            <w:tcW w:w="882" w:type="dxa"/>
            <w:tcBorders>
              <w:bottom w:val="single" w:sz="8" w:space="0" w:color="auto"/>
            </w:tcBorders>
            <w:shd w:val="clear" w:color="auto" w:fill="auto"/>
            <w:noWrap/>
            <w:vAlign w:val="bottom"/>
            <w:hideMark/>
          </w:tcPr>
          <w:p w:rsidR="001A333A" w:rsidRPr="001A333A" w:rsidRDefault="001A333A" w:rsidP="002C72C1">
            <w:pPr>
              <w:spacing w:after="0" w:line="240" w:lineRule="auto"/>
              <w:rPr>
                <w:rFonts w:eastAsia="Times New Roman" w:cs="Times New Roman"/>
                <w:color w:val="000000"/>
                <w:sz w:val="20"/>
                <w:szCs w:val="20"/>
              </w:rPr>
            </w:pPr>
            <w:r w:rsidRPr="001A333A">
              <w:rPr>
                <w:rFonts w:eastAsia="Times New Roman" w:cs="Times New Roman"/>
                <w:color w:val="000000"/>
                <w:sz w:val="20"/>
                <w:szCs w:val="20"/>
              </w:rPr>
              <w:t>USAID</w:t>
            </w:r>
          </w:p>
        </w:tc>
        <w:tc>
          <w:tcPr>
            <w:tcW w:w="1062" w:type="dxa"/>
            <w:tcBorders>
              <w:bottom w:val="single" w:sz="8" w:space="0" w:color="auto"/>
            </w:tcBorders>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1692" w:type="dxa"/>
            <w:tcBorders>
              <w:bottom w:val="single" w:sz="8" w:space="0" w:color="auto"/>
            </w:tcBorders>
            <w:shd w:val="clear" w:color="auto" w:fill="auto"/>
            <w:vAlign w:val="bottom"/>
          </w:tcPr>
          <w:p w:rsidR="001A333A" w:rsidRPr="001A333A" w:rsidRDefault="001A333A" w:rsidP="002C72C1">
            <w:pPr>
              <w:autoSpaceDE w:val="0"/>
              <w:autoSpaceDN w:val="0"/>
              <w:adjustRightInd w:val="0"/>
              <w:spacing w:after="0" w:line="240" w:lineRule="auto"/>
              <w:jc w:val="center"/>
              <w:rPr>
                <w:rFonts w:cs="Calibri"/>
                <w:color w:val="000000"/>
                <w:sz w:val="20"/>
                <w:szCs w:val="20"/>
              </w:rPr>
            </w:pPr>
            <w:r w:rsidRPr="001A333A">
              <w:rPr>
                <w:rFonts w:ascii="Segoe UI Symbol" w:hAnsi="Segoe UI Symbol" w:cs="Segoe UI Symbol"/>
                <w:color w:val="00B050"/>
                <w:sz w:val="20"/>
              </w:rPr>
              <w:t>🌑</w:t>
            </w:r>
          </w:p>
        </w:tc>
        <w:tc>
          <w:tcPr>
            <w:tcW w:w="634" w:type="dxa"/>
            <w:tcBorders>
              <w:bottom w:val="single" w:sz="8" w:space="0" w:color="auto"/>
            </w:tcBorders>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tcBorders>
              <w:bottom w:val="single" w:sz="8" w:space="0" w:color="auto"/>
            </w:tcBorders>
            <w:shd w:val="clear" w:color="auto" w:fill="0070C0"/>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tcBorders>
              <w:bottom w:val="single" w:sz="8" w:space="0" w:color="auto"/>
            </w:tcBorders>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634" w:type="dxa"/>
            <w:tcBorders>
              <w:bottom w:val="single" w:sz="8" w:space="0" w:color="auto"/>
            </w:tcBorders>
            <w:shd w:val="clear" w:color="auto" w:fill="0070C0"/>
            <w:vAlign w:val="bottom"/>
          </w:tcPr>
          <w:p w:rsidR="001A333A" w:rsidRPr="001A333A" w:rsidRDefault="001A333A" w:rsidP="002C72C1">
            <w:pPr>
              <w:autoSpaceDE w:val="0"/>
              <w:autoSpaceDN w:val="0"/>
              <w:adjustRightInd w:val="0"/>
              <w:spacing w:after="0" w:line="240" w:lineRule="auto"/>
              <w:jc w:val="center"/>
              <w:rPr>
                <w:rFonts w:cs="Calibri"/>
                <w:sz w:val="20"/>
                <w:szCs w:val="20"/>
              </w:rPr>
            </w:pPr>
            <w:r w:rsidRPr="001A333A">
              <w:rPr>
                <w:rFonts w:cs="Calibri"/>
                <w:sz w:val="20"/>
                <w:szCs w:val="20"/>
              </w:rPr>
              <w:t>A</w:t>
            </w:r>
          </w:p>
        </w:tc>
        <w:tc>
          <w:tcPr>
            <w:tcW w:w="1875" w:type="dxa"/>
            <w:gridSpan w:val="3"/>
            <w:vMerge/>
            <w:tcBorders>
              <w:bottom w:val="single" w:sz="8" w:space="0" w:color="auto"/>
            </w:tcBorders>
            <w:shd w:val="clear" w:color="auto" w:fill="BFBFBF" w:themeFill="background1" w:themeFillShade="BF"/>
          </w:tcPr>
          <w:p w:rsidR="001A333A" w:rsidRPr="001A333A" w:rsidRDefault="001A333A" w:rsidP="002C72C1">
            <w:pPr>
              <w:spacing w:after="0" w:line="240" w:lineRule="auto"/>
              <w:jc w:val="center"/>
              <w:rPr>
                <w:rFonts w:eastAsia="Times New Roman" w:cs="Times New Roman"/>
                <w:color w:val="000000"/>
                <w:sz w:val="20"/>
                <w:szCs w:val="20"/>
              </w:rPr>
            </w:pPr>
          </w:p>
        </w:tc>
      </w:tr>
    </w:tbl>
    <w:p w:rsidR="002A22F8" w:rsidRPr="002A22F8" w:rsidRDefault="002A22F8" w:rsidP="002C72C1">
      <w:pPr>
        <w:pStyle w:val="BodyText"/>
        <w:spacing w:line="240" w:lineRule="auto"/>
        <w:rPr>
          <w:highlight w:val="yellow"/>
        </w:rPr>
      </w:pPr>
      <w:r w:rsidRPr="000B4119">
        <w:rPr>
          <w:rStyle w:val="Heading3Char"/>
          <w:rFonts w:asciiTheme="minorHAnsi" w:hAnsiTheme="minorHAnsi"/>
        </w:rPr>
        <w:t>Calculation</w:t>
      </w:r>
      <w:r w:rsidRPr="000B4119">
        <w:t xml:space="preserve">: </w:t>
      </w:r>
      <w:r w:rsidR="00B41D40">
        <w:t>An agency receives a C</w:t>
      </w:r>
      <w:r w:rsidR="000B4119" w:rsidRPr="000B4119">
        <w:t xml:space="preserve"> if it has a comprehensive, regularly-updated inventory of software licenses. </w:t>
      </w:r>
      <w:r w:rsidR="001A500A">
        <w:t>Those a</w:t>
      </w:r>
      <w:r w:rsidR="000B4119" w:rsidRPr="000B4119">
        <w:t xml:space="preserve">gencies </w:t>
      </w:r>
      <w:r w:rsidR="001A500A">
        <w:t xml:space="preserve">receive </w:t>
      </w:r>
      <w:r w:rsidR="00B41D40">
        <w:t>an A</w:t>
      </w:r>
      <w:r w:rsidR="000B4119" w:rsidRPr="000B4119">
        <w:t xml:space="preserve"> if their inventory is used to make cost-effective decisions.</w:t>
      </w:r>
    </w:p>
    <w:p w:rsidR="002A22F8" w:rsidRPr="000B4119" w:rsidRDefault="002A22F8" w:rsidP="002C72C1">
      <w:pPr>
        <w:pStyle w:val="BodyText"/>
        <w:spacing w:line="240" w:lineRule="auto"/>
      </w:pPr>
      <w:r w:rsidRPr="000B4119">
        <w:rPr>
          <w:rStyle w:val="Heading3Char"/>
          <w:rFonts w:asciiTheme="minorHAnsi" w:hAnsiTheme="minorHAnsi"/>
        </w:rPr>
        <w:t>Data source (quarterly):</w:t>
      </w:r>
      <w:r w:rsidRPr="000B4119">
        <w:t xml:space="preserve"> </w:t>
      </w:r>
      <w:r w:rsidR="000B4119" w:rsidRPr="000B4119">
        <w:t xml:space="preserve">GAO’s recommendation follow-up activities. </w:t>
      </w:r>
    </w:p>
    <w:p w:rsidR="002A22F8" w:rsidRPr="000B4119" w:rsidRDefault="002A22F8" w:rsidP="002C72C1">
      <w:pPr>
        <w:pStyle w:val="BodyText"/>
        <w:spacing w:line="240" w:lineRule="auto"/>
      </w:pPr>
      <w:r w:rsidRPr="000B4119">
        <w:rPr>
          <w:rStyle w:val="Heading3Char"/>
          <w:rFonts w:asciiTheme="minorHAnsi" w:hAnsiTheme="minorHAnsi"/>
        </w:rPr>
        <w:t>Highest-rated agencies</w:t>
      </w:r>
      <w:r w:rsidRPr="000B4119">
        <w:t xml:space="preserve">: </w:t>
      </w:r>
      <w:r w:rsidR="001A333A">
        <w:t>Eighteen</w:t>
      </w:r>
      <w:r w:rsidR="00780DF7" w:rsidRPr="00780DF7">
        <w:t xml:space="preserve"> </w:t>
      </w:r>
      <w:r w:rsidRPr="00780DF7">
        <w:t>agencies</w:t>
      </w:r>
      <w:r w:rsidR="00780DF7" w:rsidRPr="00780DF7">
        <w:t xml:space="preserve"> </w:t>
      </w:r>
      <w:r w:rsidRPr="00780DF7">
        <w:t xml:space="preserve">received </w:t>
      </w:r>
      <w:r w:rsidR="00780DF7" w:rsidRPr="00780DF7">
        <w:t xml:space="preserve">an </w:t>
      </w:r>
      <w:r w:rsidR="00B41D40">
        <w:t>A</w:t>
      </w:r>
      <w:r w:rsidRPr="00780DF7">
        <w:t xml:space="preserve"> </w:t>
      </w:r>
      <w:r w:rsidR="00780DF7" w:rsidRPr="00780DF7">
        <w:t>grade</w:t>
      </w:r>
      <w:r w:rsidR="001A333A">
        <w:t>, more than doubling the number of such ratings since December</w:t>
      </w:r>
      <w:r w:rsidRPr="000B4119">
        <w:t xml:space="preserve">. </w:t>
      </w:r>
    </w:p>
    <w:p w:rsidR="002A22F8" w:rsidRPr="004C466C" w:rsidRDefault="002A22F8" w:rsidP="002C72C1">
      <w:pPr>
        <w:pStyle w:val="BodyText"/>
        <w:spacing w:line="240" w:lineRule="auto"/>
      </w:pPr>
      <w:r w:rsidRPr="000B4119">
        <w:rPr>
          <w:rStyle w:val="Heading3Char"/>
          <w:rFonts w:asciiTheme="minorHAnsi" w:hAnsiTheme="minorHAnsi"/>
        </w:rPr>
        <w:t>Lowest-rated agencies</w:t>
      </w:r>
      <w:r w:rsidRPr="000B4119">
        <w:t xml:space="preserve">: </w:t>
      </w:r>
      <w:r w:rsidR="002E23B7">
        <w:t>6</w:t>
      </w:r>
      <w:r w:rsidRPr="000B4119">
        <w:t xml:space="preserve"> agencies received failing grades</w:t>
      </w:r>
      <w:r w:rsidR="000B4119" w:rsidRPr="000B4119">
        <w:t xml:space="preserve">, although each of </w:t>
      </w:r>
      <w:r w:rsidR="001A500A">
        <w:t xml:space="preserve">them </w:t>
      </w:r>
      <w:r w:rsidR="000B4119" w:rsidRPr="004C466C">
        <w:t>had efforts underway to create and use an inventory.</w:t>
      </w:r>
    </w:p>
    <w:p w:rsidR="00035C83" w:rsidRDefault="002A22F8" w:rsidP="002C72C1">
      <w:pPr>
        <w:spacing w:line="240" w:lineRule="auto"/>
      </w:pPr>
      <w:r w:rsidRPr="004C466C">
        <w:rPr>
          <w:rStyle w:val="Heading3Char"/>
          <w:rFonts w:asciiTheme="minorHAnsi" w:hAnsiTheme="minorHAnsi"/>
        </w:rPr>
        <w:t>GAO reports:</w:t>
      </w:r>
      <w:r w:rsidRPr="004C466C">
        <w:t xml:space="preserve"> GAO </w:t>
      </w:r>
      <w:r w:rsidR="004C466C">
        <w:t>reported</w:t>
      </w:r>
      <w:r w:rsidRPr="004C466C">
        <w:t xml:space="preserve"> </w:t>
      </w:r>
      <w:r w:rsidR="008B720E" w:rsidRPr="004C466C">
        <w:t>(</w:t>
      </w:r>
      <w:hyperlink r:id="rId17" w:history="1">
        <w:r w:rsidR="008B720E" w:rsidRPr="004C466C">
          <w:rPr>
            <w:rStyle w:val="Hyperlink"/>
          </w:rPr>
          <w:t>GAO-14-413</w:t>
        </w:r>
      </w:hyperlink>
      <w:r w:rsidR="008B720E" w:rsidRPr="004C466C">
        <w:t>)</w:t>
      </w:r>
      <w:r w:rsidR="008B720E">
        <w:t xml:space="preserve"> </w:t>
      </w:r>
      <w:r w:rsidRPr="004C466C">
        <w:t xml:space="preserve">that </w:t>
      </w:r>
      <w:r w:rsidR="004C466C">
        <w:t>better management of software licenses was need</w:t>
      </w:r>
      <w:r w:rsidR="00E5571A">
        <w:t>ed</w:t>
      </w:r>
      <w:r w:rsidR="004C466C">
        <w:t xml:space="preserve"> to achieve significant savings. </w:t>
      </w:r>
      <w:r w:rsidR="00D42469">
        <w:t>M</w:t>
      </w:r>
      <w:r w:rsidR="004C466C">
        <w:t xml:space="preserve">ost agencies agreed with </w:t>
      </w:r>
      <w:r w:rsidR="00D42469">
        <w:t>GAO’s</w:t>
      </w:r>
      <w:r w:rsidR="004C466C">
        <w:t xml:space="preserve"> recommendations or had no comments</w:t>
      </w:r>
      <w:r w:rsidRPr="004C466C">
        <w:t>.</w:t>
      </w:r>
      <w:r w:rsidRPr="008B2287">
        <w:rPr>
          <w:rStyle w:val="FootnoteReference"/>
        </w:rPr>
        <w:t xml:space="preserve"> </w:t>
      </w:r>
    </w:p>
    <w:p w:rsidR="00035C83" w:rsidRPr="008B2287" w:rsidRDefault="00035C83" w:rsidP="002C72C1">
      <w:pPr>
        <w:pStyle w:val="Heading2"/>
        <w:pBdr>
          <w:bottom w:val="single" w:sz="4" w:space="1" w:color="auto"/>
        </w:pBdr>
        <w:spacing w:line="240" w:lineRule="auto"/>
        <w:rPr>
          <w:rFonts w:asciiTheme="minorHAnsi" w:hAnsiTheme="minorHAnsi"/>
        </w:rPr>
      </w:pPr>
      <w:r>
        <w:rPr>
          <w:rFonts w:asciiTheme="minorHAnsi" w:hAnsiTheme="minorHAnsi"/>
        </w:rPr>
        <w:lastRenderedPageBreak/>
        <w:t>Modernizing Government Technology Act (MGT)</w:t>
      </w:r>
    </w:p>
    <w:p w:rsidR="00120F77" w:rsidRDefault="00120F77" w:rsidP="002C72C1">
      <w:pPr>
        <w:pStyle w:val="BodyText"/>
        <w:spacing w:line="240" w:lineRule="auto"/>
      </w:pPr>
      <w:r w:rsidRPr="00120F77">
        <w:t xml:space="preserve">The Modernizing Government Technology (MGT) Act authorizes agencies to establish working capital funds </w:t>
      </w:r>
      <w:r w:rsidR="00A4252F">
        <w:t xml:space="preserve">(WCF) </w:t>
      </w:r>
      <w:r w:rsidRPr="00120F77">
        <w:t xml:space="preserve">for use in transitioning from legacy IT systems, as well as for addressing evolving threats to information security.  </w:t>
      </w:r>
      <w:r w:rsidR="00F86C83">
        <w:t xml:space="preserve">These working capital funds allow agencies to reinvest savings into modernization or cybersecurity initiatives. </w:t>
      </w:r>
      <w:r w:rsidRPr="00120F77">
        <w:t xml:space="preserve">The law </w:t>
      </w:r>
      <w:r>
        <w:t>also created</w:t>
      </w:r>
      <w:r w:rsidRPr="00120F77">
        <w:t xml:space="preserve"> the Technology Management Fund within the Department of the Treasury, from which agencies can “borrow” money to retire and replace legacy systems as well as acquire or develop systems.</w:t>
      </w:r>
    </w:p>
    <w:tbl>
      <w:tblPr>
        <w:tblpPr w:leftFromText="144" w:rightFromText="144" w:vertAnchor="text" w:horzAnchor="margin" w:tblpXSpec="right" w:tblpY="1052"/>
        <w:tblOverlap w:val="never"/>
        <w:tblW w:w="8322" w:type="dxa"/>
        <w:tblBorders>
          <w:bottom w:val="single" w:sz="8" w:space="0" w:color="auto"/>
          <w:insideH w:val="single" w:sz="8" w:space="0" w:color="auto"/>
        </w:tblBorders>
        <w:tblLayout w:type="fixed"/>
        <w:tblLook w:val="04A0" w:firstRow="1" w:lastRow="0" w:firstColumn="1" w:lastColumn="0" w:noHBand="0" w:noVBand="1"/>
      </w:tblPr>
      <w:tblGrid>
        <w:gridCol w:w="882"/>
        <w:gridCol w:w="1224"/>
        <w:gridCol w:w="810"/>
        <w:gridCol w:w="882"/>
        <w:gridCol w:w="666"/>
        <w:gridCol w:w="688"/>
        <w:gridCol w:w="634"/>
        <w:gridCol w:w="634"/>
        <w:gridCol w:w="634"/>
        <w:gridCol w:w="634"/>
        <w:gridCol w:w="603"/>
        <w:gridCol w:w="31"/>
      </w:tblGrid>
      <w:tr w:rsidR="00AA57DB" w:rsidRPr="00B406D6" w:rsidTr="00AA57DB">
        <w:trPr>
          <w:trHeight w:val="488"/>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b/>
                <w:bCs/>
                <w:color w:val="000000"/>
                <w:sz w:val="20"/>
                <w:szCs w:val="20"/>
              </w:rPr>
            </w:pPr>
            <w:r w:rsidRPr="00B406D6">
              <w:rPr>
                <w:rFonts w:ascii="Calibri" w:eastAsia="Times New Roman" w:hAnsi="Calibri" w:cs="Times New Roman"/>
                <w:b/>
                <w:bCs/>
                <w:color w:val="000000"/>
                <w:sz w:val="20"/>
                <w:szCs w:val="20"/>
              </w:rPr>
              <w:t>Agency</w:t>
            </w:r>
          </w:p>
        </w:tc>
        <w:tc>
          <w:tcPr>
            <w:tcW w:w="1224" w:type="dxa"/>
            <w:vAlign w:val="bottom"/>
          </w:tcPr>
          <w:p w:rsidR="00AA57DB" w:rsidRPr="00B406D6" w:rsidRDefault="00AA57DB" w:rsidP="002C72C1">
            <w:pPr>
              <w:spacing w:after="0" w:line="240" w:lineRule="auto"/>
              <w:jc w:val="center"/>
              <w:rPr>
                <w:rFonts w:ascii="Calibri" w:eastAsia="Times New Roman" w:hAnsi="Calibri" w:cs="Times New Roman"/>
                <w:b/>
                <w:bCs/>
                <w:color w:val="000000"/>
                <w:sz w:val="20"/>
                <w:szCs w:val="20"/>
              </w:rPr>
            </w:pPr>
            <w:r w:rsidRPr="00B406D6">
              <w:rPr>
                <w:rFonts w:ascii="Calibri" w:eastAsia="Times New Roman" w:hAnsi="Calibri" w:cs="Times New Roman"/>
                <w:b/>
                <w:bCs/>
                <w:color w:val="000000"/>
                <w:sz w:val="20"/>
                <w:szCs w:val="20"/>
              </w:rPr>
              <w:t>Plans to setup MGT WCF</w:t>
            </w:r>
          </w:p>
        </w:tc>
        <w:tc>
          <w:tcPr>
            <w:tcW w:w="810" w:type="dxa"/>
            <w:vAlign w:val="bottom"/>
          </w:tcPr>
          <w:p w:rsidR="00AA57DB" w:rsidRPr="00B406D6" w:rsidRDefault="00AA57DB" w:rsidP="002C72C1">
            <w:pPr>
              <w:spacing w:after="0" w:line="240" w:lineRule="auto"/>
              <w:jc w:val="center"/>
              <w:rPr>
                <w:rFonts w:ascii="Calibri" w:eastAsia="Times New Roman" w:hAnsi="Calibri" w:cs="Times New Roman"/>
                <w:b/>
                <w:bCs/>
                <w:color w:val="000000"/>
                <w:sz w:val="20"/>
                <w:szCs w:val="20"/>
              </w:rPr>
            </w:pPr>
            <w:r w:rsidRPr="00B406D6">
              <w:rPr>
                <w:rFonts w:ascii="Calibri" w:eastAsia="Times New Roman" w:hAnsi="Calibri" w:cs="Times New Roman"/>
                <w:b/>
                <w:bCs/>
                <w:color w:val="000000"/>
                <w:sz w:val="20"/>
                <w:szCs w:val="20"/>
              </w:rPr>
              <w:t>Has dept. WCF(s)</w:t>
            </w:r>
          </w:p>
        </w:tc>
        <w:tc>
          <w:tcPr>
            <w:tcW w:w="882" w:type="dxa"/>
            <w:vAlign w:val="bottom"/>
          </w:tcPr>
          <w:p w:rsidR="00AA57DB" w:rsidRPr="00432E91" w:rsidRDefault="00AA57DB" w:rsidP="002C72C1">
            <w:pPr>
              <w:spacing w:after="0" w:line="240" w:lineRule="auto"/>
              <w:jc w:val="center"/>
              <w:rPr>
                <w:rFonts w:ascii="Calibri" w:eastAsia="Times New Roman" w:hAnsi="Calibri" w:cs="Times New Roman"/>
                <w:b/>
                <w:bCs/>
                <w:color w:val="000000"/>
                <w:sz w:val="20"/>
                <w:szCs w:val="20"/>
              </w:rPr>
            </w:pPr>
            <w:r w:rsidRPr="00432E91">
              <w:rPr>
                <w:rFonts w:ascii="Calibri" w:eastAsia="Times New Roman" w:hAnsi="Calibri" w:cs="Times New Roman"/>
                <w:b/>
                <w:bCs/>
                <w:color w:val="000000"/>
                <w:sz w:val="20"/>
                <w:szCs w:val="20"/>
              </w:rPr>
              <w:t>Other funding method</w:t>
            </w:r>
          </w:p>
        </w:tc>
        <w:tc>
          <w:tcPr>
            <w:tcW w:w="666" w:type="dxa"/>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Dec. 2018</w:t>
            </w:r>
          </w:p>
        </w:tc>
        <w:tc>
          <w:tcPr>
            <w:tcW w:w="688" w:type="dxa"/>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May 2018</w:t>
            </w:r>
          </w:p>
        </w:tc>
        <w:tc>
          <w:tcPr>
            <w:tcW w:w="634" w:type="dxa"/>
            <w:shd w:val="clear" w:color="auto" w:fill="auto"/>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Nov. 2017</w:t>
            </w:r>
          </w:p>
        </w:tc>
        <w:tc>
          <w:tcPr>
            <w:tcW w:w="634" w:type="dxa"/>
            <w:shd w:val="clear" w:color="auto" w:fill="auto"/>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June 2017</w:t>
            </w:r>
          </w:p>
        </w:tc>
        <w:tc>
          <w:tcPr>
            <w:tcW w:w="634" w:type="dxa"/>
            <w:shd w:val="clear" w:color="auto" w:fill="auto"/>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Dec. 2016</w:t>
            </w:r>
          </w:p>
        </w:tc>
        <w:tc>
          <w:tcPr>
            <w:tcW w:w="634" w:type="dxa"/>
            <w:shd w:val="clear" w:color="auto" w:fill="auto"/>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May 2016</w:t>
            </w:r>
          </w:p>
        </w:tc>
        <w:tc>
          <w:tcPr>
            <w:tcW w:w="634" w:type="dxa"/>
            <w:gridSpan w:val="2"/>
            <w:shd w:val="clear" w:color="auto" w:fill="auto"/>
            <w:vAlign w:val="bottom"/>
          </w:tcPr>
          <w:p w:rsidR="00AA57DB" w:rsidRPr="00B406D6" w:rsidRDefault="00AA57DB" w:rsidP="002C72C1">
            <w:pPr>
              <w:spacing w:after="0" w:line="240" w:lineRule="auto"/>
              <w:jc w:val="center"/>
              <w:rPr>
                <w:rFonts w:ascii="Calibri" w:eastAsia="Times New Roman" w:hAnsi="Calibri" w:cs="Times New Roman"/>
                <w:b/>
                <w:bCs/>
                <w:sz w:val="20"/>
                <w:szCs w:val="20"/>
              </w:rPr>
            </w:pPr>
            <w:r w:rsidRPr="00B406D6">
              <w:rPr>
                <w:rFonts w:ascii="Calibri" w:eastAsia="Times New Roman" w:hAnsi="Calibri" w:cs="Times New Roman"/>
                <w:b/>
                <w:bCs/>
                <w:sz w:val="20"/>
                <w:szCs w:val="20"/>
              </w:rPr>
              <w:t>Nov. 2015</w:t>
            </w:r>
          </w:p>
        </w:tc>
      </w:tr>
      <w:tr w:rsidR="00AA57DB" w:rsidRPr="00B406D6" w:rsidTr="00A5477D">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USDA</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Yes</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92D050"/>
          </w:tcPr>
          <w:p w:rsidR="00AA57DB" w:rsidRPr="00B406D6" w:rsidRDefault="00AA57DB" w:rsidP="002C72C1">
            <w:pPr>
              <w:spacing w:after="0" w:line="240" w:lineRule="auto"/>
              <w:jc w:val="center"/>
              <w:rPr>
                <w:sz w:val="20"/>
                <w:szCs w:val="20"/>
              </w:rPr>
            </w:pPr>
            <w:r>
              <w:rPr>
                <w:sz w:val="20"/>
                <w:szCs w:val="20"/>
              </w:rPr>
              <w:t>B</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val="restart"/>
            <w:shd w:val="clear" w:color="auto" w:fill="BFBFBF" w:themeFill="background1" w:themeFillShade="BF"/>
            <w:vAlign w:val="center"/>
          </w:tcPr>
          <w:p w:rsidR="00AA57DB" w:rsidRPr="00B406D6" w:rsidRDefault="00AA57DB" w:rsidP="002C72C1">
            <w:pPr>
              <w:spacing w:after="0" w:line="240" w:lineRule="auto"/>
              <w:jc w:val="center"/>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Not previously graded</w:t>
            </w:r>
          </w:p>
        </w:tc>
      </w:tr>
      <w:tr w:rsidR="00AA57DB" w:rsidRPr="00B406D6" w:rsidTr="006768A2">
        <w:trPr>
          <w:gridAfter w:val="1"/>
          <w:wAfter w:w="31" w:type="dxa"/>
          <w:trHeight w:val="173"/>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DOC</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Pr>
                <w:sz w:val="20"/>
                <w:szCs w:val="20"/>
              </w:rPr>
              <w:t>Yes</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FFFF00"/>
          </w:tcPr>
          <w:p w:rsidR="00AA57DB" w:rsidRDefault="00AA57DB" w:rsidP="002C72C1">
            <w:pPr>
              <w:spacing w:after="0" w:line="240" w:lineRule="auto"/>
              <w:jc w:val="center"/>
              <w:rPr>
                <w:sz w:val="20"/>
                <w:szCs w:val="20"/>
              </w:rPr>
            </w:pPr>
            <w:r>
              <w:rPr>
                <w:sz w:val="20"/>
                <w:szCs w:val="20"/>
              </w:rPr>
              <w:t>C</w:t>
            </w:r>
          </w:p>
        </w:tc>
        <w:tc>
          <w:tcPr>
            <w:tcW w:w="688" w:type="dxa"/>
            <w:shd w:val="clear" w:color="auto" w:fill="C00000"/>
          </w:tcPr>
          <w:p w:rsidR="00AA57DB" w:rsidRPr="00B406D6" w:rsidRDefault="00AA57DB" w:rsidP="002C72C1">
            <w:pPr>
              <w:spacing w:after="0" w:line="240" w:lineRule="auto"/>
              <w:jc w:val="center"/>
              <w:rPr>
                <w:sz w:val="20"/>
                <w:szCs w:val="20"/>
              </w:rPr>
            </w:pPr>
            <w:r>
              <w:rPr>
                <w:sz w:val="20"/>
                <w:szCs w:val="20"/>
              </w:rPr>
              <w:t>F</w:t>
            </w:r>
          </w:p>
        </w:tc>
        <w:tc>
          <w:tcPr>
            <w:tcW w:w="3139" w:type="dxa"/>
            <w:gridSpan w:val="5"/>
            <w:vMerge/>
            <w:shd w:val="clear" w:color="auto" w:fill="BFBFBF" w:themeFill="background1" w:themeFillShade="BF"/>
            <w:vAlign w:val="center"/>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tcPr>
          <w:p w:rsidR="00AA57DB"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DOD</w:t>
            </w:r>
          </w:p>
        </w:tc>
        <w:tc>
          <w:tcPr>
            <w:tcW w:w="1224" w:type="dxa"/>
            <w:shd w:val="clear" w:color="auto" w:fill="auto"/>
          </w:tcPr>
          <w:p w:rsidR="00AA57DB"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No</w:t>
            </w:r>
          </w:p>
        </w:tc>
        <w:tc>
          <w:tcPr>
            <w:tcW w:w="810" w:type="dxa"/>
            <w:shd w:val="clear" w:color="auto" w:fill="auto"/>
          </w:tcPr>
          <w:p w:rsidR="00AA57DB" w:rsidRDefault="00AA57DB" w:rsidP="002C72C1">
            <w:pPr>
              <w:spacing w:after="0" w:line="240" w:lineRule="auto"/>
              <w:jc w:val="center"/>
              <w:rPr>
                <w:sz w:val="20"/>
                <w:szCs w:val="20"/>
              </w:rPr>
            </w:pPr>
            <w:r>
              <w:rPr>
                <w:sz w:val="20"/>
                <w:szCs w:val="20"/>
              </w:rPr>
              <w:t>Yes</w:t>
            </w:r>
          </w:p>
        </w:tc>
        <w:tc>
          <w:tcPr>
            <w:tcW w:w="882" w:type="dxa"/>
            <w:shd w:val="clear" w:color="auto" w:fill="auto"/>
          </w:tcPr>
          <w:p w:rsidR="00AA57DB" w:rsidRPr="00432E91" w:rsidRDefault="000327C7" w:rsidP="002C72C1">
            <w:pPr>
              <w:autoSpaceDE w:val="0"/>
              <w:autoSpaceDN w:val="0"/>
              <w:adjustRightInd w:val="0"/>
              <w:spacing w:after="0" w:line="240" w:lineRule="auto"/>
              <w:jc w:val="center"/>
              <w:rPr>
                <w:rFonts w:ascii="Calibri" w:hAnsi="Calibri" w:cs="Calibri"/>
                <w:sz w:val="20"/>
                <w:szCs w:val="20"/>
              </w:rPr>
            </w:pPr>
            <w:r w:rsidRPr="00432E91">
              <w:rPr>
                <w:rFonts w:ascii="Calibri" w:hAnsi="Calibri" w:cs="Calibri"/>
                <w:sz w:val="20"/>
                <w:szCs w:val="20"/>
              </w:rPr>
              <w:t>Yes</w:t>
            </w:r>
          </w:p>
        </w:tc>
        <w:tc>
          <w:tcPr>
            <w:tcW w:w="666" w:type="dxa"/>
            <w:shd w:val="clear" w:color="auto" w:fill="FFFF00"/>
          </w:tcPr>
          <w:p w:rsidR="00AA57DB" w:rsidRDefault="00AA57DB" w:rsidP="002C72C1">
            <w:pPr>
              <w:spacing w:after="0" w:line="240" w:lineRule="auto"/>
              <w:jc w:val="center"/>
              <w:rPr>
                <w:sz w:val="20"/>
                <w:szCs w:val="20"/>
              </w:rPr>
            </w:pPr>
            <w:r>
              <w:rPr>
                <w:sz w:val="20"/>
                <w:szCs w:val="20"/>
              </w:rPr>
              <w:t>C</w:t>
            </w:r>
          </w:p>
        </w:tc>
        <w:tc>
          <w:tcPr>
            <w:tcW w:w="688" w:type="dxa"/>
            <w:shd w:val="clear" w:color="auto" w:fill="C00000"/>
          </w:tcPr>
          <w:p w:rsidR="00AA57DB" w:rsidRDefault="00AA57DB" w:rsidP="002C72C1">
            <w:pPr>
              <w:spacing w:after="0" w:line="240" w:lineRule="auto"/>
              <w:jc w:val="center"/>
              <w:rPr>
                <w:sz w:val="20"/>
                <w:szCs w:val="20"/>
              </w:rPr>
            </w:pPr>
            <w:r>
              <w:rPr>
                <w:sz w:val="20"/>
                <w:szCs w:val="20"/>
              </w:rPr>
              <w:t>F</w:t>
            </w:r>
          </w:p>
        </w:tc>
        <w:tc>
          <w:tcPr>
            <w:tcW w:w="3139" w:type="dxa"/>
            <w:gridSpan w:val="5"/>
            <w:vMerge/>
            <w:shd w:val="clear" w:color="auto" w:fill="BFBFBF" w:themeFill="background1" w:themeFillShade="BF"/>
            <w:vAlign w:val="center"/>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Ed.</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Conditional</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688" w:type="dxa"/>
            <w:shd w:val="clear" w:color="auto" w:fill="FFC000"/>
          </w:tcPr>
          <w:p w:rsidR="00AA57DB" w:rsidRPr="00B406D6" w:rsidRDefault="00AA57DB" w:rsidP="002C72C1">
            <w:pPr>
              <w:spacing w:after="0" w:line="240" w:lineRule="auto"/>
              <w:jc w:val="center"/>
              <w:rPr>
                <w:sz w:val="20"/>
                <w:szCs w:val="20"/>
              </w:rPr>
            </w:pPr>
            <w:r w:rsidRPr="00B406D6">
              <w:rPr>
                <w:sz w:val="20"/>
                <w:szCs w:val="20"/>
              </w:rPr>
              <w:t>D</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Energy</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Pr>
                <w:sz w:val="20"/>
                <w:szCs w:val="20"/>
              </w:rPr>
              <w:t>Yes</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FFFF00"/>
          </w:tcPr>
          <w:p w:rsidR="00AA57DB"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HHS</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0327C7" w:rsidP="002C72C1">
            <w:pPr>
              <w:spacing w:after="0" w:line="240" w:lineRule="auto"/>
              <w:jc w:val="center"/>
              <w:rPr>
                <w:sz w:val="20"/>
                <w:szCs w:val="20"/>
              </w:rPr>
            </w:pPr>
            <w:r w:rsidRPr="00432E91">
              <w:rPr>
                <w:sz w:val="20"/>
                <w:szCs w:val="20"/>
              </w:rPr>
              <w:t>Yes</w:t>
            </w: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5477D">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DHS</w:t>
            </w:r>
          </w:p>
        </w:tc>
        <w:tc>
          <w:tcPr>
            <w:tcW w:w="1224" w:type="dxa"/>
            <w:shd w:val="clear" w:color="auto" w:fill="auto"/>
          </w:tcPr>
          <w:p w:rsidR="00AA57DB" w:rsidRPr="00B406D6" w:rsidRDefault="00AA57DB" w:rsidP="002C72C1">
            <w:pPr>
              <w:spacing w:after="0" w:line="240" w:lineRule="auto"/>
              <w:jc w:val="center"/>
              <w:rPr>
                <w:sz w:val="20"/>
                <w:szCs w:val="20"/>
              </w:rPr>
            </w:pPr>
            <w:r>
              <w:rPr>
                <w:rFonts w:ascii="Calibri" w:hAnsi="Calibri" w:cs="Calibri"/>
                <w:sz w:val="20"/>
                <w:szCs w:val="20"/>
              </w:rPr>
              <w:t>Yes</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92D050"/>
          </w:tcPr>
          <w:p w:rsidR="00AA57DB" w:rsidRPr="00B406D6" w:rsidRDefault="00AA57DB" w:rsidP="002C72C1">
            <w:pPr>
              <w:spacing w:after="0" w:line="240" w:lineRule="auto"/>
              <w:jc w:val="center"/>
              <w:rPr>
                <w:sz w:val="20"/>
                <w:szCs w:val="20"/>
              </w:rPr>
            </w:pPr>
            <w:r>
              <w:rPr>
                <w:sz w:val="20"/>
                <w:szCs w:val="20"/>
              </w:rPr>
              <w:t>B</w:t>
            </w:r>
          </w:p>
        </w:tc>
        <w:tc>
          <w:tcPr>
            <w:tcW w:w="688" w:type="dxa"/>
            <w:shd w:val="clear" w:color="auto" w:fill="92D050"/>
          </w:tcPr>
          <w:p w:rsidR="00AA57DB" w:rsidRPr="00B406D6" w:rsidRDefault="00AA57DB" w:rsidP="002C72C1">
            <w:pPr>
              <w:spacing w:after="0" w:line="240" w:lineRule="auto"/>
              <w:jc w:val="center"/>
              <w:rPr>
                <w:sz w:val="20"/>
                <w:szCs w:val="20"/>
              </w:rPr>
            </w:pPr>
            <w:r w:rsidRPr="00B406D6">
              <w:rPr>
                <w:sz w:val="20"/>
                <w:szCs w:val="20"/>
              </w:rPr>
              <w:t>B</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HUD</w:t>
            </w:r>
          </w:p>
        </w:tc>
        <w:tc>
          <w:tcPr>
            <w:tcW w:w="1224" w:type="dxa"/>
            <w:shd w:val="clear" w:color="auto" w:fill="auto"/>
          </w:tcPr>
          <w:p w:rsidR="00AA57DB" w:rsidRPr="00B406D6" w:rsidRDefault="000327C7" w:rsidP="002C72C1">
            <w:pPr>
              <w:spacing w:after="0" w:line="240" w:lineRule="auto"/>
              <w:jc w:val="center"/>
              <w:rPr>
                <w:sz w:val="20"/>
                <w:szCs w:val="20"/>
              </w:rPr>
            </w:pPr>
            <w:r>
              <w:rPr>
                <w:sz w:val="20"/>
                <w:szCs w:val="20"/>
              </w:rPr>
              <w:t>No</w:t>
            </w:r>
          </w:p>
        </w:tc>
        <w:tc>
          <w:tcPr>
            <w:tcW w:w="810" w:type="dxa"/>
            <w:shd w:val="clear" w:color="auto" w:fill="auto"/>
          </w:tcPr>
          <w:p w:rsidR="00AA57DB" w:rsidRPr="00B406D6" w:rsidRDefault="000327C7" w:rsidP="002C72C1">
            <w:pPr>
              <w:spacing w:after="0" w:line="240" w:lineRule="auto"/>
              <w:jc w:val="center"/>
              <w:rPr>
                <w:sz w:val="20"/>
                <w:szCs w:val="20"/>
              </w:rPr>
            </w:pPr>
            <w:r>
              <w:rPr>
                <w:sz w:val="20"/>
                <w:szCs w:val="20"/>
              </w:rPr>
              <w:t>Yes</w:t>
            </w:r>
          </w:p>
        </w:tc>
        <w:tc>
          <w:tcPr>
            <w:tcW w:w="882" w:type="dxa"/>
            <w:shd w:val="clear" w:color="auto" w:fill="auto"/>
          </w:tcPr>
          <w:p w:rsidR="00AA57DB" w:rsidRPr="00432E91" w:rsidRDefault="000327C7" w:rsidP="002C72C1">
            <w:pPr>
              <w:spacing w:after="0" w:line="240" w:lineRule="auto"/>
              <w:jc w:val="center"/>
              <w:rPr>
                <w:sz w:val="20"/>
                <w:szCs w:val="20"/>
              </w:rPr>
            </w:pPr>
            <w:r w:rsidRPr="00432E91">
              <w:rPr>
                <w:sz w:val="20"/>
                <w:szCs w:val="20"/>
              </w:rPr>
              <w:t>Yes</w:t>
            </w:r>
          </w:p>
        </w:tc>
        <w:tc>
          <w:tcPr>
            <w:tcW w:w="666" w:type="dxa"/>
            <w:shd w:val="clear" w:color="auto" w:fill="FFFF00"/>
          </w:tcPr>
          <w:p w:rsidR="00AA57DB"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DOI</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DOJ</w:t>
            </w:r>
          </w:p>
        </w:tc>
        <w:tc>
          <w:tcPr>
            <w:tcW w:w="1224" w:type="dxa"/>
            <w:shd w:val="clear" w:color="auto" w:fill="auto"/>
          </w:tcPr>
          <w:p w:rsidR="00AA57DB" w:rsidRPr="00B406D6" w:rsidRDefault="00AA57DB" w:rsidP="002C72C1">
            <w:pPr>
              <w:spacing w:after="0" w:line="240" w:lineRule="auto"/>
              <w:jc w:val="center"/>
              <w:rPr>
                <w:sz w:val="20"/>
                <w:szCs w:val="20"/>
              </w:rPr>
            </w:pPr>
            <w:r>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r w:rsidRPr="00432E91">
              <w:rPr>
                <w:sz w:val="20"/>
                <w:szCs w:val="20"/>
              </w:rPr>
              <w:t>Yes</w:t>
            </w:r>
          </w:p>
        </w:tc>
        <w:tc>
          <w:tcPr>
            <w:tcW w:w="666" w:type="dxa"/>
            <w:shd w:val="clear" w:color="auto" w:fill="FFC000"/>
          </w:tcPr>
          <w:p w:rsidR="00AA57DB" w:rsidRDefault="00AA57DB" w:rsidP="002C72C1">
            <w:pPr>
              <w:spacing w:after="0" w:line="240" w:lineRule="auto"/>
              <w:jc w:val="center"/>
              <w:rPr>
                <w:sz w:val="20"/>
                <w:szCs w:val="20"/>
              </w:rPr>
            </w:pPr>
            <w:r>
              <w:rPr>
                <w:sz w:val="20"/>
                <w:szCs w:val="20"/>
              </w:rPr>
              <w:t>D</w:t>
            </w:r>
          </w:p>
        </w:tc>
        <w:tc>
          <w:tcPr>
            <w:tcW w:w="688" w:type="dxa"/>
            <w:shd w:val="clear" w:color="auto" w:fill="C00000"/>
          </w:tcPr>
          <w:p w:rsidR="00AA57DB" w:rsidRPr="00B406D6" w:rsidRDefault="00AA57DB" w:rsidP="002C72C1">
            <w:pPr>
              <w:spacing w:after="0" w:line="240" w:lineRule="auto"/>
              <w:jc w:val="center"/>
              <w:rPr>
                <w:sz w:val="20"/>
                <w:szCs w:val="20"/>
              </w:rPr>
            </w:pPr>
            <w:r>
              <w:rPr>
                <w:sz w:val="20"/>
                <w:szCs w:val="20"/>
              </w:rPr>
              <w:t>F</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5477D">
        <w:trPr>
          <w:gridAfter w:val="1"/>
          <w:wAfter w:w="31" w:type="dxa"/>
          <w:trHeight w:val="173"/>
        </w:trPr>
        <w:tc>
          <w:tcPr>
            <w:tcW w:w="882" w:type="dxa"/>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DOL</w:t>
            </w:r>
          </w:p>
        </w:tc>
        <w:tc>
          <w:tcPr>
            <w:tcW w:w="1224" w:type="dxa"/>
            <w:shd w:val="clear" w:color="auto" w:fill="auto"/>
          </w:tcPr>
          <w:p w:rsidR="00AA57DB" w:rsidRDefault="00AA57DB" w:rsidP="002C72C1">
            <w:pPr>
              <w:spacing w:after="0" w:line="240" w:lineRule="auto"/>
              <w:jc w:val="center"/>
              <w:rPr>
                <w:sz w:val="20"/>
                <w:szCs w:val="20"/>
              </w:rPr>
            </w:pPr>
            <w:r>
              <w:rPr>
                <w:sz w:val="20"/>
                <w:szCs w:val="20"/>
              </w:rPr>
              <w:t>Yes</w:t>
            </w:r>
          </w:p>
        </w:tc>
        <w:tc>
          <w:tcPr>
            <w:tcW w:w="810" w:type="dxa"/>
            <w:shd w:val="clear" w:color="auto" w:fill="auto"/>
          </w:tcPr>
          <w:p w:rsidR="00AA57DB" w:rsidRPr="00B406D6" w:rsidRDefault="00AA57DB" w:rsidP="002C72C1">
            <w:pPr>
              <w:spacing w:after="0" w:line="240" w:lineRule="auto"/>
              <w:jc w:val="center"/>
              <w:rPr>
                <w:sz w:val="20"/>
                <w:szCs w:val="20"/>
              </w:rPr>
            </w:pPr>
            <w:r>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0070C0"/>
          </w:tcPr>
          <w:p w:rsidR="00AA57DB" w:rsidRDefault="008F2E63" w:rsidP="002C72C1">
            <w:pPr>
              <w:spacing w:after="0" w:line="240" w:lineRule="auto"/>
              <w:jc w:val="center"/>
              <w:rPr>
                <w:sz w:val="20"/>
                <w:szCs w:val="20"/>
              </w:rPr>
            </w:pPr>
            <w:r>
              <w:rPr>
                <w:sz w:val="20"/>
                <w:szCs w:val="20"/>
              </w:rPr>
              <w:t>A</w:t>
            </w:r>
          </w:p>
        </w:tc>
        <w:tc>
          <w:tcPr>
            <w:tcW w:w="688" w:type="dxa"/>
            <w:shd w:val="clear" w:color="auto" w:fill="92D050"/>
          </w:tcPr>
          <w:p w:rsidR="00AA57DB" w:rsidRPr="00B406D6" w:rsidRDefault="00AA57DB" w:rsidP="002C72C1">
            <w:pPr>
              <w:spacing w:after="0" w:line="240" w:lineRule="auto"/>
              <w:jc w:val="center"/>
              <w:rPr>
                <w:sz w:val="20"/>
                <w:szCs w:val="20"/>
              </w:rPr>
            </w:pPr>
            <w:r>
              <w:rPr>
                <w:sz w:val="20"/>
                <w:szCs w:val="20"/>
              </w:rPr>
              <w:t>B</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State</w:t>
            </w:r>
          </w:p>
        </w:tc>
        <w:tc>
          <w:tcPr>
            <w:tcW w:w="1224" w:type="dxa"/>
            <w:shd w:val="clear" w:color="auto" w:fill="auto"/>
          </w:tcPr>
          <w:p w:rsidR="00AA57DB" w:rsidRPr="00B406D6" w:rsidRDefault="00AA57DB" w:rsidP="002C72C1">
            <w:pPr>
              <w:spacing w:after="0" w:line="240" w:lineRule="auto"/>
              <w:jc w:val="center"/>
              <w:rPr>
                <w:sz w:val="20"/>
                <w:szCs w:val="20"/>
              </w:rPr>
            </w:pPr>
            <w:r>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0327C7" w:rsidP="002C72C1">
            <w:pPr>
              <w:spacing w:after="0" w:line="240" w:lineRule="auto"/>
              <w:jc w:val="center"/>
              <w:rPr>
                <w:sz w:val="20"/>
                <w:szCs w:val="20"/>
              </w:rPr>
            </w:pPr>
            <w:r w:rsidRPr="00432E91">
              <w:rPr>
                <w:sz w:val="20"/>
                <w:szCs w:val="20"/>
              </w:rPr>
              <w:t>Yes</w:t>
            </w: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DOT</w:t>
            </w:r>
          </w:p>
        </w:tc>
        <w:tc>
          <w:tcPr>
            <w:tcW w:w="1224" w:type="dxa"/>
            <w:shd w:val="clear" w:color="auto" w:fill="auto"/>
          </w:tcPr>
          <w:p w:rsidR="00AA57DB" w:rsidRPr="00B406D6" w:rsidRDefault="00AA57DB" w:rsidP="002C72C1">
            <w:pPr>
              <w:spacing w:after="0" w:line="240" w:lineRule="auto"/>
              <w:jc w:val="center"/>
              <w:rPr>
                <w:sz w:val="20"/>
                <w:szCs w:val="20"/>
              </w:rPr>
            </w:pPr>
            <w:r>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Treas.</w:t>
            </w:r>
          </w:p>
        </w:tc>
        <w:tc>
          <w:tcPr>
            <w:tcW w:w="1224" w:type="dxa"/>
            <w:shd w:val="clear" w:color="auto" w:fill="auto"/>
          </w:tcPr>
          <w:p w:rsidR="00AA57DB" w:rsidRPr="00B406D6" w:rsidRDefault="00AA57DB" w:rsidP="002C72C1">
            <w:pPr>
              <w:spacing w:after="0" w:line="240" w:lineRule="auto"/>
              <w:jc w:val="center"/>
              <w:rPr>
                <w:sz w:val="20"/>
                <w:szCs w:val="20"/>
              </w:rPr>
            </w:pPr>
            <w:r>
              <w:rPr>
                <w:rFonts w:ascii="Calibri" w:hAnsi="Calibri" w:cs="Calibri"/>
                <w:sz w:val="20"/>
                <w:szCs w:val="20"/>
              </w:rPr>
              <w:t>Evaluating</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VA</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r w:rsidRPr="00432E91">
              <w:rPr>
                <w:rFonts w:ascii="Calibri" w:hAnsi="Calibri" w:cs="Calibri"/>
                <w:sz w:val="20"/>
                <w:szCs w:val="20"/>
              </w:rPr>
              <w:t>Yes</w:t>
            </w:r>
          </w:p>
        </w:tc>
        <w:tc>
          <w:tcPr>
            <w:tcW w:w="666" w:type="dxa"/>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688" w:type="dxa"/>
            <w:shd w:val="clear" w:color="auto" w:fill="FFC000"/>
          </w:tcPr>
          <w:p w:rsidR="00AA57DB" w:rsidRPr="00B406D6" w:rsidRDefault="00AA57DB" w:rsidP="002C72C1">
            <w:pPr>
              <w:spacing w:after="0" w:line="240" w:lineRule="auto"/>
              <w:jc w:val="center"/>
              <w:rPr>
                <w:sz w:val="20"/>
                <w:szCs w:val="20"/>
              </w:rPr>
            </w:pPr>
            <w:r w:rsidRPr="00B406D6">
              <w:rPr>
                <w:sz w:val="20"/>
                <w:szCs w:val="20"/>
              </w:rPr>
              <w:t>D</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EPA</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GSA</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sidRPr="00B406D6">
              <w:rPr>
                <w:rFonts w:ascii="Calibri" w:hAnsi="Calibri" w:cs="Calibri"/>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NASA</w:t>
            </w:r>
          </w:p>
        </w:tc>
        <w:tc>
          <w:tcPr>
            <w:tcW w:w="1224" w:type="dxa"/>
            <w:shd w:val="clear" w:color="auto" w:fill="auto"/>
          </w:tcPr>
          <w:p w:rsidR="00AA57DB" w:rsidRPr="00B406D6" w:rsidRDefault="00AA57DB"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Evaluating</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autoSpaceDE w:val="0"/>
              <w:autoSpaceDN w:val="0"/>
              <w:adjustRightInd w:val="0"/>
              <w:spacing w:after="0" w:line="240" w:lineRule="auto"/>
              <w:jc w:val="center"/>
              <w:rPr>
                <w:rFonts w:ascii="Calibri" w:hAnsi="Calibri" w:cs="Calibri"/>
                <w:sz w:val="20"/>
                <w:szCs w:val="20"/>
              </w:rPr>
            </w:pP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NSF</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r w:rsidRPr="00432E91">
              <w:rPr>
                <w:sz w:val="20"/>
                <w:szCs w:val="20"/>
              </w:rPr>
              <w:t>Yes</w:t>
            </w:r>
          </w:p>
        </w:tc>
        <w:tc>
          <w:tcPr>
            <w:tcW w:w="666" w:type="dxa"/>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688" w:type="dxa"/>
            <w:shd w:val="clear" w:color="auto" w:fill="FFC000"/>
          </w:tcPr>
          <w:p w:rsidR="00AA57DB" w:rsidRPr="00B406D6" w:rsidRDefault="00AA57DB" w:rsidP="002C72C1">
            <w:pPr>
              <w:spacing w:after="0" w:line="240" w:lineRule="auto"/>
              <w:jc w:val="center"/>
              <w:rPr>
                <w:sz w:val="20"/>
                <w:szCs w:val="20"/>
              </w:rPr>
            </w:pPr>
            <w:r w:rsidRPr="00B406D6">
              <w:rPr>
                <w:sz w:val="20"/>
                <w:szCs w:val="20"/>
              </w:rPr>
              <w:t>D</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NRC</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r w:rsidRPr="00432E91">
              <w:rPr>
                <w:sz w:val="20"/>
                <w:szCs w:val="20"/>
              </w:rPr>
              <w:t>Yes</w:t>
            </w:r>
          </w:p>
        </w:tc>
        <w:tc>
          <w:tcPr>
            <w:tcW w:w="666" w:type="dxa"/>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688" w:type="dxa"/>
            <w:shd w:val="clear" w:color="auto" w:fill="FFC000"/>
          </w:tcPr>
          <w:p w:rsidR="00AA57DB" w:rsidRPr="00B406D6" w:rsidRDefault="00AA57DB" w:rsidP="002C72C1">
            <w:pPr>
              <w:spacing w:after="0" w:line="240" w:lineRule="auto"/>
              <w:jc w:val="center"/>
              <w:rPr>
                <w:sz w:val="20"/>
                <w:szCs w:val="20"/>
              </w:rPr>
            </w:pPr>
            <w:r w:rsidRPr="00B406D6">
              <w:rPr>
                <w:sz w:val="20"/>
                <w:szCs w:val="20"/>
              </w:rPr>
              <w:t>D</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OPM</w:t>
            </w:r>
          </w:p>
        </w:tc>
        <w:tc>
          <w:tcPr>
            <w:tcW w:w="1224" w:type="dxa"/>
            <w:shd w:val="clear" w:color="auto" w:fill="auto"/>
          </w:tcPr>
          <w:p w:rsidR="00AA57DB" w:rsidRPr="00B406D6" w:rsidRDefault="00AA57DB" w:rsidP="002C72C1">
            <w:pPr>
              <w:spacing w:after="0" w:line="240" w:lineRule="auto"/>
              <w:jc w:val="center"/>
              <w:rPr>
                <w:sz w:val="20"/>
                <w:szCs w:val="20"/>
              </w:rPr>
            </w:pPr>
            <w:r>
              <w:rPr>
                <w:rFonts w:ascii="Calibri" w:hAnsi="Calibri" w:cs="Calibri"/>
                <w:sz w:val="20"/>
                <w:szCs w:val="20"/>
              </w:rPr>
              <w:t>Conditional</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688" w:type="dxa"/>
            <w:shd w:val="clear" w:color="auto" w:fill="FFC000"/>
          </w:tcPr>
          <w:p w:rsidR="00AA57DB" w:rsidRPr="00B406D6" w:rsidRDefault="00AA57DB" w:rsidP="002C72C1">
            <w:pPr>
              <w:spacing w:after="0" w:line="240" w:lineRule="auto"/>
              <w:jc w:val="center"/>
              <w:rPr>
                <w:sz w:val="20"/>
                <w:szCs w:val="20"/>
              </w:rPr>
            </w:pPr>
            <w:r w:rsidRPr="00B406D6">
              <w:rPr>
                <w:sz w:val="20"/>
                <w:szCs w:val="20"/>
              </w:rPr>
              <w:t>D</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5477D">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SBA</w:t>
            </w:r>
          </w:p>
        </w:tc>
        <w:tc>
          <w:tcPr>
            <w:tcW w:w="1224" w:type="dxa"/>
            <w:shd w:val="clear" w:color="auto" w:fill="auto"/>
          </w:tcPr>
          <w:p w:rsidR="00AA57DB" w:rsidRPr="00B406D6" w:rsidRDefault="00AA57DB" w:rsidP="002C72C1">
            <w:pPr>
              <w:spacing w:after="0" w:line="240" w:lineRule="auto"/>
              <w:jc w:val="center"/>
              <w:rPr>
                <w:sz w:val="20"/>
                <w:szCs w:val="20"/>
              </w:rPr>
            </w:pPr>
            <w:r>
              <w:rPr>
                <w:rFonts w:ascii="Calibri" w:hAnsi="Calibri" w:cs="Calibri"/>
                <w:sz w:val="20"/>
                <w:szCs w:val="20"/>
              </w:rPr>
              <w:t>Yes</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82" w:type="dxa"/>
            <w:shd w:val="clear" w:color="auto" w:fill="auto"/>
          </w:tcPr>
          <w:p w:rsidR="00AA57DB" w:rsidRPr="00432E91" w:rsidRDefault="00AA57DB" w:rsidP="002C72C1">
            <w:pPr>
              <w:spacing w:after="0" w:line="240" w:lineRule="auto"/>
              <w:jc w:val="center"/>
              <w:rPr>
                <w:sz w:val="20"/>
                <w:szCs w:val="20"/>
              </w:rPr>
            </w:pPr>
          </w:p>
        </w:tc>
        <w:tc>
          <w:tcPr>
            <w:tcW w:w="666" w:type="dxa"/>
            <w:shd w:val="clear" w:color="auto" w:fill="92D050"/>
          </w:tcPr>
          <w:p w:rsidR="00AA57DB" w:rsidRPr="00B406D6" w:rsidRDefault="00AA57DB" w:rsidP="002C72C1">
            <w:pPr>
              <w:spacing w:after="0" w:line="240" w:lineRule="auto"/>
              <w:jc w:val="center"/>
              <w:rPr>
                <w:sz w:val="20"/>
                <w:szCs w:val="20"/>
              </w:rPr>
            </w:pPr>
            <w:r>
              <w:rPr>
                <w:sz w:val="20"/>
                <w:szCs w:val="20"/>
              </w:rPr>
              <w:t>B</w:t>
            </w:r>
          </w:p>
        </w:tc>
        <w:tc>
          <w:tcPr>
            <w:tcW w:w="688" w:type="dxa"/>
            <w:shd w:val="clear" w:color="auto" w:fill="92D050"/>
          </w:tcPr>
          <w:p w:rsidR="00AA57DB" w:rsidRPr="00B406D6" w:rsidRDefault="00AA57DB" w:rsidP="002C72C1">
            <w:pPr>
              <w:spacing w:after="0" w:line="240" w:lineRule="auto"/>
              <w:jc w:val="center"/>
              <w:rPr>
                <w:sz w:val="20"/>
                <w:szCs w:val="20"/>
              </w:rPr>
            </w:pPr>
            <w:r w:rsidRPr="00B406D6">
              <w:rPr>
                <w:sz w:val="20"/>
                <w:szCs w:val="20"/>
              </w:rPr>
              <w:t>B</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shd w:val="clear" w:color="auto" w:fill="auto"/>
            <w:noWrap/>
            <w:vAlign w:val="bottom"/>
            <w:hideMark/>
          </w:tcPr>
          <w:p w:rsidR="00AA57DB" w:rsidRPr="00B406D6" w:rsidRDefault="00AA57DB" w:rsidP="002C72C1">
            <w:pPr>
              <w:spacing w:after="0" w:line="240" w:lineRule="auto"/>
              <w:rPr>
                <w:rFonts w:ascii="Calibri" w:eastAsia="Times New Roman" w:hAnsi="Calibri" w:cs="Times New Roman"/>
                <w:color w:val="000000"/>
                <w:sz w:val="20"/>
                <w:szCs w:val="20"/>
              </w:rPr>
            </w:pPr>
            <w:r w:rsidRPr="00B406D6">
              <w:rPr>
                <w:rFonts w:ascii="Calibri" w:eastAsia="Times New Roman" w:hAnsi="Calibri" w:cs="Times New Roman"/>
                <w:color w:val="000000"/>
                <w:sz w:val="20"/>
                <w:szCs w:val="20"/>
              </w:rPr>
              <w:t>SSA</w:t>
            </w:r>
          </w:p>
        </w:tc>
        <w:tc>
          <w:tcPr>
            <w:tcW w:w="1224" w:type="dxa"/>
            <w:shd w:val="clear" w:color="auto" w:fill="auto"/>
          </w:tcPr>
          <w:p w:rsidR="00AA57DB" w:rsidRPr="00B406D6" w:rsidRDefault="00AA57DB" w:rsidP="002C72C1">
            <w:pPr>
              <w:spacing w:after="0" w:line="240" w:lineRule="auto"/>
              <w:jc w:val="center"/>
              <w:rPr>
                <w:sz w:val="20"/>
                <w:szCs w:val="20"/>
              </w:rPr>
            </w:pPr>
            <w:r w:rsidRPr="00B406D6">
              <w:rPr>
                <w:sz w:val="20"/>
                <w:szCs w:val="20"/>
              </w:rPr>
              <w:t>No</w:t>
            </w:r>
          </w:p>
        </w:tc>
        <w:tc>
          <w:tcPr>
            <w:tcW w:w="810" w:type="dxa"/>
            <w:shd w:val="clear" w:color="auto" w:fill="auto"/>
          </w:tcPr>
          <w:p w:rsidR="00AA57DB" w:rsidRPr="00B406D6" w:rsidRDefault="00AA57DB" w:rsidP="002C72C1">
            <w:pPr>
              <w:spacing w:after="0" w:line="240" w:lineRule="auto"/>
              <w:jc w:val="center"/>
              <w:rPr>
                <w:sz w:val="20"/>
                <w:szCs w:val="20"/>
              </w:rPr>
            </w:pPr>
            <w:r w:rsidRPr="00B406D6">
              <w:rPr>
                <w:sz w:val="20"/>
                <w:szCs w:val="20"/>
              </w:rPr>
              <w:t>Yes</w:t>
            </w:r>
          </w:p>
        </w:tc>
        <w:tc>
          <w:tcPr>
            <w:tcW w:w="882" w:type="dxa"/>
            <w:shd w:val="clear" w:color="auto" w:fill="auto"/>
          </w:tcPr>
          <w:p w:rsidR="00AA57DB" w:rsidRPr="00432E91" w:rsidRDefault="00AA57DB" w:rsidP="002C72C1">
            <w:pPr>
              <w:spacing w:after="0" w:line="240" w:lineRule="auto"/>
              <w:jc w:val="center"/>
              <w:rPr>
                <w:sz w:val="20"/>
                <w:szCs w:val="20"/>
              </w:rPr>
            </w:pPr>
            <w:r w:rsidRPr="00432E91">
              <w:rPr>
                <w:sz w:val="20"/>
                <w:szCs w:val="20"/>
              </w:rPr>
              <w:t>Yes</w:t>
            </w:r>
          </w:p>
        </w:tc>
        <w:tc>
          <w:tcPr>
            <w:tcW w:w="666" w:type="dxa"/>
            <w:shd w:val="clear" w:color="auto" w:fill="FFFF00"/>
          </w:tcPr>
          <w:p w:rsidR="00AA57DB" w:rsidRPr="00B406D6" w:rsidRDefault="00AA57DB" w:rsidP="002C72C1">
            <w:pPr>
              <w:spacing w:after="0" w:line="240" w:lineRule="auto"/>
              <w:jc w:val="center"/>
              <w:rPr>
                <w:sz w:val="20"/>
                <w:szCs w:val="20"/>
              </w:rPr>
            </w:pPr>
            <w:r>
              <w:rPr>
                <w:sz w:val="20"/>
                <w:szCs w:val="20"/>
              </w:rPr>
              <w:t>C</w:t>
            </w:r>
          </w:p>
        </w:tc>
        <w:tc>
          <w:tcPr>
            <w:tcW w:w="688" w:type="dxa"/>
            <w:shd w:val="clear" w:color="auto" w:fill="FFFF00"/>
          </w:tcPr>
          <w:p w:rsidR="00AA57DB" w:rsidRPr="00B406D6" w:rsidRDefault="00AA57DB" w:rsidP="002C72C1">
            <w:pPr>
              <w:spacing w:after="0" w:line="240" w:lineRule="auto"/>
              <w:jc w:val="center"/>
              <w:rPr>
                <w:sz w:val="20"/>
                <w:szCs w:val="20"/>
              </w:rPr>
            </w:pPr>
            <w:r w:rsidRPr="00B406D6">
              <w:rPr>
                <w:sz w:val="20"/>
                <w:szCs w:val="20"/>
              </w:rPr>
              <w:t>C</w:t>
            </w:r>
          </w:p>
        </w:tc>
        <w:tc>
          <w:tcPr>
            <w:tcW w:w="3139" w:type="dxa"/>
            <w:gridSpan w:val="5"/>
            <w:vMerge/>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6768A2">
        <w:trPr>
          <w:gridAfter w:val="1"/>
          <w:wAfter w:w="31" w:type="dxa"/>
          <w:trHeight w:val="173"/>
        </w:trPr>
        <w:tc>
          <w:tcPr>
            <w:tcW w:w="882" w:type="dxa"/>
            <w:tcBorders>
              <w:bottom w:val="single" w:sz="8" w:space="0" w:color="auto"/>
            </w:tcBorders>
            <w:shd w:val="clear" w:color="auto" w:fill="auto"/>
            <w:noWrap/>
            <w:vAlign w:val="bottom"/>
          </w:tcPr>
          <w:p w:rsidR="00AA57DB" w:rsidRPr="00B406D6" w:rsidRDefault="00AA57DB" w:rsidP="002C72C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USAID</w:t>
            </w:r>
          </w:p>
        </w:tc>
        <w:tc>
          <w:tcPr>
            <w:tcW w:w="1224" w:type="dxa"/>
            <w:tcBorders>
              <w:bottom w:val="single" w:sz="8" w:space="0" w:color="auto"/>
            </w:tcBorders>
            <w:shd w:val="clear" w:color="auto" w:fill="auto"/>
          </w:tcPr>
          <w:p w:rsidR="00AA57DB" w:rsidRPr="00B406D6" w:rsidRDefault="00AA57DB" w:rsidP="002C72C1">
            <w:pPr>
              <w:spacing w:after="0" w:line="240" w:lineRule="auto"/>
              <w:jc w:val="center"/>
              <w:rPr>
                <w:sz w:val="20"/>
                <w:szCs w:val="20"/>
              </w:rPr>
            </w:pPr>
            <w:r>
              <w:rPr>
                <w:rFonts w:ascii="Calibri" w:hAnsi="Calibri" w:cs="Calibri"/>
                <w:sz w:val="20"/>
                <w:szCs w:val="20"/>
              </w:rPr>
              <w:t>Conditional</w:t>
            </w:r>
          </w:p>
        </w:tc>
        <w:tc>
          <w:tcPr>
            <w:tcW w:w="810" w:type="dxa"/>
            <w:tcBorders>
              <w:bottom w:val="single" w:sz="8" w:space="0" w:color="auto"/>
            </w:tcBorders>
            <w:shd w:val="clear" w:color="auto" w:fill="auto"/>
          </w:tcPr>
          <w:p w:rsidR="00AA57DB" w:rsidRPr="00B406D6" w:rsidRDefault="00AA57DB" w:rsidP="002C72C1">
            <w:pPr>
              <w:spacing w:after="0" w:line="240" w:lineRule="auto"/>
              <w:jc w:val="center"/>
              <w:rPr>
                <w:sz w:val="20"/>
                <w:szCs w:val="20"/>
              </w:rPr>
            </w:pPr>
            <w:r>
              <w:rPr>
                <w:sz w:val="20"/>
                <w:szCs w:val="20"/>
              </w:rPr>
              <w:t>No</w:t>
            </w:r>
          </w:p>
        </w:tc>
        <w:tc>
          <w:tcPr>
            <w:tcW w:w="882" w:type="dxa"/>
            <w:tcBorders>
              <w:bottom w:val="single" w:sz="8" w:space="0" w:color="auto"/>
            </w:tcBorders>
            <w:shd w:val="clear" w:color="auto" w:fill="auto"/>
          </w:tcPr>
          <w:p w:rsidR="00AA57DB" w:rsidRPr="00432E91" w:rsidRDefault="00AA57DB" w:rsidP="002C72C1">
            <w:pPr>
              <w:spacing w:after="0" w:line="240" w:lineRule="auto"/>
              <w:jc w:val="center"/>
              <w:rPr>
                <w:sz w:val="20"/>
                <w:szCs w:val="20"/>
              </w:rPr>
            </w:pPr>
          </w:p>
        </w:tc>
        <w:tc>
          <w:tcPr>
            <w:tcW w:w="666" w:type="dxa"/>
            <w:tcBorders>
              <w:bottom w:val="single" w:sz="8" w:space="0" w:color="auto"/>
            </w:tcBorders>
            <w:shd w:val="clear" w:color="auto" w:fill="FFC000"/>
          </w:tcPr>
          <w:p w:rsidR="00AA57DB" w:rsidRDefault="00AA57DB" w:rsidP="002C72C1">
            <w:pPr>
              <w:spacing w:after="0" w:line="240" w:lineRule="auto"/>
              <w:jc w:val="center"/>
              <w:rPr>
                <w:sz w:val="20"/>
                <w:szCs w:val="20"/>
              </w:rPr>
            </w:pPr>
            <w:r>
              <w:rPr>
                <w:sz w:val="20"/>
                <w:szCs w:val="20"/>
              </w:rPr>
              <w:t>D</w:t>
            </w:r>
          </w:p>
        </w:tc>
        <w:tc>
          <w:tcPr>
            <w:tcW w:w="688" w:type="dxa"/>
            <w:tcBorders>
              <w:bottom w:val="single" w:sz="8" w:space="0" w:color="auto"/>
            </w:tcBorders>
            <w:shd w:val="clear" w:color="auto" w:fill="FFC000"/>
          </w:tcPr>
          <w:p w:rsidR="00AA57DB" w:rsidRPr="00B406D6" w:rsidRDefault="00AA57DB" w:rsidP="002C72C1">
            <w:pPr>
              <w:spacing w:after="0" w:line="240" w:lineRule="auto"/>
              <w:jc w:val="center"/>
              <w:rPr>
                <w:sz w:val="20"/>
                <w:szCs w:val="20"/>
              </w:rPr>
            </w:pPr>
            <w:r>
              <w:rPr>
                <w:sz w:val="20"/>
                <w:szCs w:val="20"/>
              </w:rPr>
              <w:t>D</w:t>
            </w:r>
          </w:p>
        </w:tc>
        <w:tc>
          <w:tcPr>
            <w:tcW w:w="3139" w:type="dxa"/>
            <w:gridSpan w:val="5"/>
            <w:vMerge/>
            <w:tcBorders>
              <w:bottom w:val="single" w:sz="8" w:space="0" w:color="auto"/>
            </w:tcBorders>
            <w:shd w:val="clear" w:color="auto" w:fill="BFBFBF" w:themeFill="background1" w:themeFillShade="BF"/>
            <w:vAlign w:val="bottom"/>
          </w:tcPr>
          <w:p w:rsidR="00AA57DB" w:rsidRPr="00B406D6" w:rsidRDefault="00AA57DB" w:rsidP="002C72C1">
            <w:pPr>
              <w:spacing w:after="0" w:line="240" w:lineRule="auto"/>
              <w:jc w:val="center"/>
              <w:rPr>
                <w:rFonts w:ascii="Calibri" w:eastAsia="Times New Roman" w:hAnsi="Calibri" w:cs="Times New Roman"/>
                <w:color w:val="000000"/>
                <w:sz w:val="20"/>
                <w:szCs w:val="20"/>
              </w:rPr>
            </w:pPr>
          </w:p>
        </w:tc>
      </w:tr>
      <w:tr w:rsidR="00AA57DB" w:rsidRPr="00B406D6" w:rsidTr="00AA57DB">
        <w:trPr>
          <w:gridAfter w:val="1"/>
          <w:wAfter w:w="31" w:type="dxa"/>
          <w:trHeight w:val="173"/>
        </w:trPr>
        <w:tc>
          <w:tcPr>
            <w:tcW w:w="8291" w:type="dxa"/>
            <w:gridSpan w:val="11"/>
            <w:tcBorders>
              <w:top w:val="single" w:sz="8" w:space="0" w:color="auto"/>
              <w:bottom w:val="nil"/>
            </w:tcBorders>
            <w:shd w:val="clear" w:color="auto" w:fill="auto"/>
            <w:noWrap/>
            <w:vAlign w:val="bottom"/>
          </w:tcPr>
          <w:p w:rsidR="00AA57DB" w:rsidRPr="00AA57DB" w:rsidRDefault="00AA57DB" w:rsidP="002C72C1">
            <w:pPr>
              <w:spacing w:after="0" w:line="240" w:lineRule="auto"/>
              <w:rPr>
                <w:rFonts w:ascii="Calibri" w:eastAsia="Times New Roman" w:hAnsi="Calibri" w:cs="Times New Roman"/>
                <w:color w:val="000000"/>
                <w:sz w:val="18"/>
                <w:szCs w:val="20"/>
              </w:rPr>
            </w:pPr>
          </w:p>
        </w:tc>
      </w:tr>
    </w:tbl>
    <w:p w:rsidR="00035C83" w:rsidRPr="00B65640" w:rsidRDefault="00AA57DB" w:rsidP="002C72C1">
      <w:pPr>
        <w:pStyle w:val="BodyText"/>
        <w:spacing w:line="240" w:lineRule="auto"/>
        <w:rPr>
          <w:highlight w:val="yellow"/>
        </w:rPr>
      </w:pPr>
      <w:r w:rsidRPr="008B2287">
        <w:rPr>
          <w:rStyle w:val="Heading3Char"/>
          <w:rFonts w:asciiTheme="minorHAnsi" w:hAnsiTheme="minorHAnsi"/>
        </w:rPr>
        <w:t xml:space="preserve"> </w:t>
      </w:r>
      <w:r w:rsidR="008C7694" w:rsidRPr="008B2287">
        <w:rPr>
          <w:rStyle w:val="Heading3Char"/>
          <w:rFonts w:asciiTheme="minorHAnsi" w:hAnsiTheme="minorHAnsi"/>
        </w:rPr>
        <w:t>Why it’s important</w:t>
      </w:r>
      <w:r w:rsidR="00035C83" w:rsidRPr="00E85C67">
        <w:t>:</w:t>
      </w:r>
      <w:r w:rsidR="00035C83" w:rsidRPr="00E85C67">
        <w:rPr>
          <w:b/>
        </w:rPr>
        <w:t xml:space="preserve"> </w:t>
      </w:r>
      <w:r w:rsidR="00120F77" w:rsidRPr="00120F77">
        <w:t xml:space="preserve">Federal </w:t>
      </w:r>
      <w:proofErr w:type="gramStart"/>
      <w:r w:rsidR="00120F77" w:rsidRPr="00120F77">
        <w:t>legacy</w:t>
      </w:r>
      <w:proofErr w:type="gramEnd"/>
      <w:r w:rsidR="00120F77" w:rsidRPr="00120F77">
        <w:t xml:space="preserve"> IT investments are becoming increasingly obsolete: many use outdated software languages and hardware parts that are unsupported. </w:t>
      </w:r>
      <w:r w:rsidR="00A4252F">
        <w:t>For example, some federal a</w:t>
      </w:r>
      <w:r w:rsidR="00120F77" w:rsidRPr="00120F77">
        <w:t xml:space="preserve">gencies reported using </w:t>
      </w:r>
      <w:r w:rsidR="00A4252F">
        <w:t xml:space="preserve">some </w:t>
      </w:r>
      <w:r w:rsidR="00120F77" w:rsidRPr="00120F77">
        <w:t>system components that are</w:t>
      </w:r>
      <w:r w:rsidR="00A4252F">
        <w:t xml:space="preserve"> </w:t>
      </w:r>
      <w:r w:rsidR="00120F77" w:rsidRPr="00120F77">
        <w:t>at least 50 years old.</w:t>
      </w:r>
      <w:bookmarkStart w:id="0" w:name="_GoBack"/>
      <w:bookmarkEnd w:id="0"/>
    </w:p>
    <w:p w:rsidR="00035C83" w:rsidRPr="002A22F8" w:rsidRDefault="00035C83" w:rsidP="002C72C1">
      <w:pPr>
        <w:pStyle w:val="BodyText"/>
        <w:spacing w:line="240" w:lineRule="auto"/>
        <w:rPr>
          <w:highlight w:val="yellow"/>
        </w:rPr>
      </w:pPr>
      <w:r w:rsidRPr="000B4119">
        <w:rPr>
          <w:rStyle w:val="Heading3Char"/>
          <w:rFonts w:asciiTheme="minorHAnsi" w:hAnsiTheme="minorHAnsi"/>
        </w:rPr>
        <w:t>Calculation</w:t>
      </w:r>
      <w:r w:rsidRPr="000B4119">
        <w:t xml:space="preserve">: </w:t>
      </w:r>
      <w:r w:rsidRPr="004C78A0">
        <w:t>An agency receives a</w:t>
      </w:r>
      <w:r w:rsidR="00B406D6" w:rsidRPr="004C78A0">
        <w:t>n</w:t>
      </w:r>
      <w:r w:rsidR="00B41D40">
        <w:t xml:space="preserve"> </w:t>
      </w:r>
      <w:r w:rsidR="00705299" w:rsidRPr="004C78A0">
        <w:t>A</w:t>
      </w:r>
      <w:r w:rsidRPr="004C78A0">
        <w:t xml:space="preserve"> if it has a</w:t>
      </w:r>
      <w:r w:rsidR="00705299" w:rsidRPr="004C78A0">
        <w:t>n MGT-specific</w:t>
      </w:r>
      <w:r w:rsidRPr="004C78A0">
        <w:t xml:space="preserve"> </w:t>
      </w:r>
      <w:r w:rsidR="007636D6" w:rsidRPr="004C78A0">
        <w:t>WCF</w:t>
      </w:r>
      <w:r w:rsidR="00705299" w:rsidRPr="004C78A0">
        <w:t xml:space="preserve"> with a CIO in charge of decision-making, a B if it </w:t>
      </w:r>
      <w:r w:rsidR="007636D6" w:rsidRPr="004C78A0">
        <w:t>plans to setup a</w:t>
      </w:r>
      <w:r w:rsidR="00705299" w:rsidRPr="004C78A0">
        <w:t>n MGT</w:t>
      </w:r>
      <w:r w:rsidR="007636D6" w:rsidRPr="004C78A0">
        <w:t xml:space="preserve"> WCF</w:t>
      </w:r>
      <w:r w:rsidR="00705299" w:rsidRPr="004C78A0">
        <w:t xml:space="preserve"> </w:t>
      </w:r>
      <w:r w:rsidR="00621CDC" w:rsidRPr="004C78A0">
        <w:t>in 201</w:t>
      </w:r>
      <w:r w:rsidR="00AA57DB">
        <w:t>9</w:t>
      </w:r>
      <w:r w:rsidR="00705299" w:rsidRPr="004C78A0">
        <w:t xml:space="preserve"> or 20</w:t>
      </w:r>
      <w:r w:rsidR="00AA57DB">
        <w:t>20, a C if it has a department</w:t>
      </w:r>
      <w:r w:rsidR="00705299" w:rsidRPr="004C78A0">
        <w:t xml:space="preserve"> WCF, a D if it has some other IT-related funding </w:t>
      </w:r>
      <w:r w:rsidR="00B406D6" w:rsidRPr="004C78A0">
        <w:t>method</w:t>
      </w:r>
      <w:r w:rsidR="00705299" w:rsidRPr="004C78A0">
        <w:t>, and an F otherwise</w:t>
      </w:r>
      <w:r w:rsidR="007636D6" w:rsidRPr="004C78A0">
        <w:t xml:space="preserve">. </w:t>
      </w:r>
    </w:p>
    <w:p w:rsidR="00035C83" w:rsidRPr="000B4119" w:rsidRDefault="00035C83" w:rsidP="002C72C1">
      <w:pPr>
        <w:pStyle w:val="BodyText"/>
        <w:spacing w:line="240" w:lineRule="auto"/>
      </w:pPr>
      <w:r w:rsidRPr="000B4119">
        <w:rPr>
          <w:rStyle w:val="Heading3Char"/>
          <w:rFonts w:asciiTheme="minorHAnsi" w:hAnsiTheme="minorHAnsi"/>
        </w:rPr>
        <w:t>Data source:</w:t>
      </w:r>
      <w:r w:rsidRPr="000B4119">
        <w:t xml:space="preserve"> </w:t>
      </w:r>
      <w:r w:rsidR="00780DF7">
        <w:t xml:space="preserve">agencies’ responses to </w:t>
      </w:r>
      <w:r w:rsidR="007636D6">
        <w:t xml:space="preserve">OGR’s </w:t>
      </w:r>
      <w:r w:rsidR="00780DF7">
        <w:t xml:space="preserve">oversight </w:t>
      </w:r>
      <w:r w:rsidR="006768A2">
        <w:t>questions in May and November 2018</w:t>
      </w:r>
      <w:r w:rsidRPr="007636D6">
        <w:t>.</w:t>
      </w:r>
      <w:r w:rsidRPr="000B4119">
        <w:t xml:space="preserve"> </w:t>
      </w:r>
    </w:p>
    <w:p w:rsidR="00035C83" w:rsidRPr="000B4119" w:rsidRDefault="00035C83" w:rsidP="002C72C1">
      <w:pPr>
        <w:pStyle w:val="BodyText"/>
        <w:spacing w:line="240" w:lineRule="auto"/>
      </w:pPr>
      <w:r w:rsidRPr="000B4119">
        <w:rPr>
          <w:rStyle w:val="Heading3Char"/>
          <w:rFonts w:asciiTheme="minorHAnsi" w:hAnsiTheme="minorHAnsi"/>
        </w:rPr>
        <w:t>Highest-rated agencies</w:t>
      </w:r>
      <w:r w:rsidRPr="000B4119">
        <w:t xml:space="preserve">: </w:t>
      </w:r>
      <w:r w:rsidR="008F2E63">
        <w:t>The Department of Labor received an A because it created a separate account within its departmental working capital fund that is managed by the CIO.</w:t>
      </w:r>
    </w:p>
    <w:p w:rsidR="00035C83" w:rsidRPr="004C466C" w:rsidRDefault="00035C83" w:rsidP="002C72C1">
      <w:pPr>
        <w:pStyle w:val="BodyText"/>
        <w:spacing w:line="240" w:lineRule="auto"/>
      </w:pPr>
      <w:r w:rsidRPr="000B4119">
        <w:rPr>
          <w:rStyle w:val="Heading3Char"/>
          <w:rFonts w:asciiTheme="minorHAnsi" w:hAnsiTheme="minorHAnsi"/>
        </w:rPr>
        <w:t>Lowest-rated agencies</w:t>
      </w:r>
      <w:r w:rsidRPr="000B4119">
        <w:t xml:space="preserve">: </w:t>
      </w:r>
      <w:r w:rsidR="001C6D41" w:rsidRPr="001C6D41">
        <w:t>7</w:t>
      </w:r>
      <w:r w:rsidRPr="001C6D41">
        <w:t xml:space="preserve"> agencies </w:t>
      </w:r>
      <w:r w:rsidR="00D80AC2" w:rsidRPr="001C6D41">
        <w:t>(</w:t>
      </w:r>
      <w:r w:rsidR="001C6D41" w:rsidRPr="001C6D41">
        <w:t>Ed., DOJ, VA, NSF, NRC, OPM, and USAID</w:t>
      </w:r>
      <w:r w:rsidR="00D80AC2" w:rsidRPr="001C6D41">
        <w:t xml:space="preserve">) </w:t>
      </w:r>
      <w:r w:rsidRPr="001C6D41">
        <w:t xml:space="preserve">received </w:t>
      </w:r>
      <w:r w:rsidR="001C6D41" w:rsidRPr="001C6D41">
        <w:t>a D because they do not have department-level WCFs that can be used for IT</w:t>
      </w:r>
      <w:r w:rsidRPr="001C6D41">
        <w:t>.</w:t>
      </w:r>
    </w:p>
    <w:p w:rsidR="002A22F8" w:rsidRDefault="00035C83" w:rsidP="002C72C1">
      <w:pPr>
        <w:spacing w:line="240" w:lineRule="auto"/>
      </w:pPr>
      <w:r w:rsidRPr="004C466C">
        <w:rPr>
          <w:rStyle w:val="Heading3Char"/>
          <w:rFonts w:asciiTheme="minorHAnsi" w:hAnsiTheme="minorHAnsi"/>
        </w:rPr>
        <w:t>GAO reports:</w:t>
      </w:r>
      <w:r w:rsidRPr="004C466C">
        <w:t xml:space="preserve"> </w:t>
      </w:r>
      <w:r w:rsidRPr="00780DF7">
        <w:t>Most recently, GAO reported (</w:t>
      </w:r>
      <w:hyperlink r:id="rId18" w:history="1">
        <w:r w:rsidR="00A4252F" w:rsidRPr="00780DF7">
          <w:rPr>
            <w:rStyle w:val="Hyperlink"/>
          </w:rPr>
          <w:t>GAO-16-468</w:t>
        </w:r>
      </w:hyperlink>
      <w:r w:rsidRPr="00780DF7">
        <w:t xml:space="preserve">) that </w:t>
      </w:r>
      <w:r w:rsidR="00A4252F" w:rsidRPr="00780DF7">
        <w:t>federal agencies needed to address aging legacy system</w:t>
      </w:r>
      <w:r w:rsidR="004C78A0">
        <w:t>s and</w:t>
      </w:r>
      <w:r w:rsidRPr="00780DF7">
        <w:t xml:space="preserve"> made related recommendations</w:t>
      </w:r>
      <w:r w:rsidR="004C78A0">
        <w:t xml:space="preserve">. </w:t>
      </w:r>
      <w:r w:rsidR="00AA57DB">
        <w:t>A</w:t>
      </w:r>
      <w:r w:rsidRPr="00780DF7">
        <w:t>gencies generally agreed or had no comments.</w:t>
      </w:r>
      <w:r w:rsidR="00AA63C4">
        <w:t xml:space="preserve"> </w:t>
      </w:r>
      <w:r w:rsidR="002A22F8">
        <w:br w:type="page"/>
      </w:r>
    </w:p>
    <w:p w:rsidR="00713C11" w:rsidRPr="008B2287" w:rsidRDefault="00713C11" w:rsidP="002C72C1">
      <w:pPr>
        <w:pStyle w:val="Heading2"/>
        <w:pBdr>
          <w:bottom w:val="single" w:sz="4" w:space="1" w:color="auto"/>
        </w:pBdr>
        <w:spacing w:line="240" w:lineRule="auto"/>
        <w:rPr>
          <w:rFonts w:asciiTheme="minorHAnsi" w:hAnsiTheme="minorHAnsi"/>
        </w:rPr>
      </w:pPr>
      <w:r w:rsidRPr="00713C11">
        <w:rPr>
          <w:rFonts w:asciiTheme="minorHAnsi" w:hAnsiTheme="minorHAnsi"/>
        </w:rPr>
        <w:lastRenderedPageBreak/>
        <w:t>Federal Information Security Modernization Act of 2014 (FISMA)</w:t>
      </w:r>
      <w:r w:rsidR="000B7DE0">
        <w:rPr>
          <w:rFonts w:asciiTheme="minorHAnsi" w:hAnsiTheme="minorHAnsi"/>
        </w:rPr>
        <w:t xml:space="preserve"> – </w:t>
      </w:r>
      <w:r w:rsidR="000B7DE0" w:rsidRPr="006768A2">
        <w:rPr>
          <w:rFonts w:asciiTheme="minorHAnsi" w:hAnsiTheme="minorHAnsi"/>
        </w:rPr>
        <w:t>PREVIEW</w:t>
      </w:r>
      <w:r w:rsidR="003D2D9B" w:rsidRPr="006768A2">
        <w:rPr>
          <w:rFonts w:asciiTheme="minorHAnsi" w:hAnsiTheme="minorHAnsi"/>
        </w:rPr>
        <w:t>E</w:t>
      </w:r>
      <w:r w:rsidR="001C6D41" w:rsidRPr="006768A2">
        <w:rPr>
          <w:rFonts w:asciiTheme="minorHAnsi" w:hAnsiTheme="minorHAnsi"/>
        </w:rPr>
        <w:t>D</w:t>
      </w:r>
    </w:p>
    <w:p w:rsidR="00A630CA" w:rsidRDefault="00A630CA" w:rsidP="002C72C1">
      <w:pPr>
        <w:pStyle w:val="BodyText"/>
        <w:spacing w:line="240" w:lineRule="auto"/>
      </w:pPr>
      <w:r w:rsidRPr="00A630CA">
        <w:t>Congress enacted the Federal Information Security Modernization Act of 2014 (FISMA)</w:t>
      </w:r>
      <w:r>
        <w:rPr>
          <w:rStyle w:val="FootnoteReference"/>
        </w:rPr>
        <w:footnoteReference w:id="7"/>
      </w:r>
      <w:r w:rsidRPr="00A630CA">
        <w:t xml:space="preserve"> to improve federal cybersecurity and clarify government-wide responsibilities. The act promote</w:t>
      </w:r>
      <w:r w:rsidR="00C40564">
        <w:t>s</w:t>
      </w:r>
      <w:r w:rsidRPr="00A630CA">
        <w:t xml:space="preserve"> security tools with the ability to continuously monitor and diagnose the security of federal agencies, and provide improved oversight of security programs. </w:t>
      </w:r>
      <w:r w:rsidR="00C40564">
        <w:t>T</w:t>
      </w:r>
      <w:r w:rsidRPr="00A630CA">
        <w:t xml:space="preserve">he act </w:t>
      </w:r>
      <w:r w:rsidR="00C40564">
        <w:t xml:space="preserve">also </w:t>
      </w:r>
      <w:r w:rsidRPr="00A630CA">
        <w:t xml:space="preserve">clarifies and assigns additional </w:t>
      </w:r>
      <w:r w:rsidR="00D87649">
        <w:t>duties</w:t>
      </w:r>
      <w:r w:rsidRPr="00A630CA">
        <w:t xml:space="preserve"> to entities such as OMB</w:t>
      </w:r>
      <w:r w:rsidR="00FB1A8E">
        <w:t xml:space="preserve"> and </w:t>
      </w:r>
      <w:r w:rsidRPr="00A630CA">
        <w:t>DHS.</w:t>
      </w:r>
    </w:p>
    <w:tbl>
      <w:tblPr>
        <w:tblpPr w:leftFromText="144" w:rightFromText="144" w:vertAnchor="text" w:horzAnchor="margin" w:tblpXSpec="right" w:tblpY="12"/>
        <w:tblOverlap w:val="never"/>
        <w:tblW w:w="8195" w:type="dxa"/>
        <w:tblBorders>
          <w:bottom w:val="single" w:sz="8" w:space="0" w:color="auto"/>
          <w:insideH w:val="single" w:sz="8" w:space="0" w:color="auto"/>
        </w:tblBorders>
        <w:tblLayout w:type="fixed"/>
        <w:tblLook w:val="04A0" w:firstRow="1" w:lastRow="0" w:firstColumn="1" w:lastColumn="0" w:noHBand="0" w:noVBand="1"/>
      </w:tblPr>
      <w:tblGrid>
        <w:gridCol w:w="882"/>
        <w:gridCol w:w="1350"/>
        <w:gridCol w:w="1224"/>
        <w:gridCol w:w="677"/>
        <w:gridCol w:w="677"/>
        <w:gridCol w:w="677"/>
        <w:gridCol w:w="677"/>
        <w:gridCol w:w="677"/>
        <w:gridCol w:w="677"/>
        <w:gridCol w:w="677"/>
      </w:tblGrid>
      <w:tr w:rsidR="00D87649" w:rsidRPr="00D87649" w:rsidTr="00C40564">
        <w:trPr>
          <w:trHeight w:val="488"/>
        </w:trPr>
        <w:tc>
          <w:tcPr>
            <w:tcW w:w="882" w:type="dxa"/>
            <w:shd w:val="clear" w:color="auto" w:fill="auto"/>
            <w:noWrap/>
            <w:vAlign w:val="bottom"/>
          </w:tcPr>
          <w:p w:rsidR="00AA63C4" w:rsidRPr="00D87649" w:rsidRDefault="00AA63C4" w:rsidP="002C72C1">
            <w:pPr>
              <w:spacing w:after="0" w:line="240" w:lineRule="auto"/>
              <w:rPr>
                <w:rFonts w:eastAsia="Times New Roman" w:cs="Times New Roman"/>
                <w:b/>
                <w:bCs/>
                <w:sz w:val="20"/>
                <w:szCs w:val="20"/>
              </w:rPr>
            </w:pPr>
            <w:r w:rsidRPr="00D87649">
              <w:rPr>
                <w:rFonts w:eastAsia="Times New Roman" w:cs="Times New Roman"/>
                <w:b/>
                <w:bCs/>
                <w:sz w:val="20"/>
                <w:szCs w:val="20"/>
              </w:rPr>
              <w:t>Agency</w:t>
            </w:r>
          </w:p>
        </w:tc>
        <w:tc>
          <w:tcPr>
            <w:tcW w:w="1350" w:type="dxa"/>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Average IG assessment</w:t>
            </w:r>
          </w:p>
        </w:tc>
        <w:tc>
          <w:tcPr>
            <w:tcW w:w="1224" w:type="dxa"/>
            <w:vAlign w:val="bottom"/>
          </w:tcPr>
          <w:p w:rsidR="00AA63C4" w:rsidRPr="00D87649" w:rsidRDefault="00C4056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 xml:space="preserve">% of </w:t>
            </w:r>
            <w:r w:rsidR="00AA63C4" w:rsidRPr="00D87649">
              <w:rPr>
                <w:rFonts w:eastAsia="Times New Roman" w:cs="Times New Roman"/>
                <w:b/>
                <w:bCs/>
                <w:sz w:val="20"/>
                <w:szCs w:val="20"/>
              </w:rPr>
              <w:t>CAP metrics met</w:t>
            </w:r>
            <w:r w:rsidRPr="00D87649">
              <w:rPr>
                <w:rFonts w:eastAsia="Times New Roman" w:cs="Times New Roman"/>
                <w:b/>
                <w:bCs/>
                <w:sz w:val="20"/>
                <w:szCs w:val="20"/>
              </w:rPr>
              <w:t xml:space="preserve"> </w:t>
            </w:r>
          </w:p>
        </w:tc>
        <w:tc>
          <w:tcPr>
            <w:tcW w:w="677" w:type="dxa"/>
            <w:shd w:val="clear" w:color="auto" w:fill="auto"/>
            <w:vAlign w:val="bottom"/>
          </w:tcPr>
          <w:p w:rsidR="00AA63C4" w:rsidRPr="00D87649" w:rsidRDefault="00FE0195"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Dec. 2018</w:t>
            </w:r>
          </w:p>
        </w:tc>
        <w:tc>
          <w:tcPr>
            <w:tcW w:w="677" w:type="dxa"/>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May 2018</w:t>
            </w:r>
          </w:p>
        </w:tc>
        <w:tc>
          <w:tcPr>
            <w:tcW w:w="677" w:type="dxa"/>
            <w:shd w:val="clear" w:color="auto" w:fill="auto"/>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Nov. 2017</w:t>
            </w:r>
          </w:p>
        </w:tc>
        <w:tc>
          <w:tcPr>
            <w:tcW w:w="677" w:type="dxa"/>
            <w:shd w:val="clear" w:color="auto" w:fill="auto"/>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June 2017</w:t>
            </w:r>
          </w:p>
        </w:tc>
        <w:tc>
          <w:tcPr>
            <w:tcW w:w="677" w:type="dxa"/>
            <w:shd w:val="clear" w:color="auto" w:fill="auto"/>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Dec. 2016</w:t>
            </w:r>
          </w:p>
        </w:tc>
        <w:tc>
          <w:tcPr>
            <w:tcW w:w="677" w:type="dxa"/>
            <w:shd w:val="clear" w:color="auto" w:fill="auto"/>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May 2016</w:t>
            </w:r>
          </w:p>
        </w:tc>
        <w:tc>
          <w:tcPr>
            <w:tcW w:w="677" w:type="dxa"/>
            <w:shd w:val="clear" w:color="auto" w:fill="auto"/>
            <w:vAlign w:val="bottom"/>
          </w:tcPr>
          <w:p w:rsidR="00AA63C4" w:rsidRPr="00D87649" w:rsidRDefault="00AA63C4" w:rsidP="002C72C1">
            <w:pPr>
              <w:spacing w:after="0" w:line="240" w:lineRule="auto"/>
              <w:jc w:val="center"/>
              <w:rPr>
                <w:rFonts w:eastAsia="Times New Roman" w:cs="Times New Roman"/>
                <w:b/>
                <w:bCs/>
                <w:sz w:val="20"/>
                <w:szCs w:val="20"/>
              </w:rPr>
            </w:pPr>
            <w:r w:rsidRPr="00D87649">
              <w:rPr>
                <w:rFonts w:eastAsia="Times New Roman" w:cs="Times New Roman"/>
                <w:b/>
                <w:bCs/>
                <w:sz w:val="20"/>
                <w:szCs w:val="20"/>
              </w:rPr>
              <w:t>Nov. 2015</w:t>
            </w:r>
          </w:p>
        </w:tc>
      </w:tr>
      <w:tr w:rsidR="00D87649" w:rsidRPr="00D87649" w:rsidTr="00D87649">
        <w:trPr>
          <w:trHeight w:val="173"/>
        </w:trPr>
        <w:tc>
          <w:tcPr>
            <w:tcW w:w="882" w:type="dxa"/>
            <w:shd w:val="clear" w:color="auto" w:fill="auto"/>
            <w:noWrap/>
            <w:vAlign w:val="bottom"/>
            <w:hideMark/>
          </w:tcPr>
          <w:p w:rsidR="009F25ED" w:rsidRPr="00D87649" w:rsidRDefault="009F25ED" w:rsidP="002C72C1">
            <w:pPr>
              <w:spacing w:after="0" w:line="240" w:lineRule="auto"/>
              <w:rPr>
                <w:rFonts w:eastAsia="Times New Roman" w:cs="Times New Roman"/>
                <w:sz w:val="20"/>
                <w:szCs w:val="20"/>
              </w:rPr>
            </w:pPr>
            <w:r w:rsidRPr="00D87649">
              <w:rPr>
                <w:rFonts w:eastAsia="Times New Roman" w:cs="Times New Roman"/>
                <w:sz w:val="20"/>
                <w:szCs w:val="20"/>
              </w:rPr>
              <w:t>USDA</w:t>
            </w:r>
          </w:p>
        </w:tc>
        <w:tc>
          <w:tcPr>
            <w:tcW w:w="1350" w:type="dxa"/>
            <w:shd w:val="clear" w:color="auto" w:fill="C00000"/>
          </w:tcPr>
          <w:p w:rsidR="009F25ED" w:rsidRPr="00D87649" w:rsidRDefault="009F25ED" w:rsidP="002C72C1">
            <w:pPr>
              <w:spacing w:after="0" w:line="240" w:lineRule="auto"/>
              <w:rPr>
                <w:sz w:val="20"/>
                <w:szCs w:val="20"/>
              </w:rPr>
            </w:pPr>
            <w:r w:rsidRPr="00D87649">
              <w:rPr>
                <w:sz w:val="20"/>
                <w:szCs w:val="20"/>
              </w:rPr>
              <w:t>2 of 5 (40%)</w:t>
            </w:r>
          </w:p>
        </w:tc>
        <w:tc>
          <w:tcPr>
            <w:tcW w:w="1224" w:type="dxa"/>
            <w:shd w:val="clear" w:color="auto" w:fill="FFC000"/>
          </w:tcPr>
          <w:p w:rsidR="009F25ED" w:rsidRPr="00D87649" w:rsidRDefault="009F25ED" w:rsidP="002C72C1">
            <w:pPr>
              <w:autoSpaceDE w:val="0"/>
              <w:autoSpaceDN w:val="0"/>
              <w:adjustRightInd w:val="0"/>
              <w:spacing w:after="0" w:line="240" w:lineRule="auto"/>
              <w:jc w:val="center"/>
              <w:rPr>
                <w:rFonts w:cs="Calibri"/>
                <w:sz w:val="20"/>
                <w:szCs w:val="20"/>
              </w:rPr>
            </w:pPr>
            <w:r w:rsidRPr="00D87649">
              <w:rPr>
                <w:rFonts w:cs="Calibri"/>
                <w:sz w:val="20"/>
                <w:szCs w:val="20"/>
              </w:rPr>
              <w:t>6 (60%)</w:t>
            </w:r>
          </w:p>
        </w:tc>
        <w:tc>
          <w:tcPr>
            <w:tcW w:w="677" w:type="dxa"/>
            <w:shd w:val="clear" w:color="auto" w:fill="FFC000"/>
          </w:tcPr>
          <w:p w:rsidR="009F25ED" w:rsidRPr="00D87649" w:rsidRDefault="00D87649" w:rsidP="002C72C1">
            <w:pPr>
              <w:autoSpaceDE w:val="0"/>
              <w:autoSpaceDN w:val="0"/>
              <w:adjustRightInd w:val="0"/>
              <w:spacing w:after="0" w:line="240" w:lineRule="auto"/>
              <w:jc w:val="center"/>
              <w:rPr>
                <w:rFonts w:cs="Calibri"/>
                <w:sz w:val="20"/>
                <w:szCs w:val="20"/>
              </w:rPr>
            </w:pPr>
            <w:r w:rsidRPr="00D87649">
              <w:rPr>
                <w:rFonts w:cs="Calibri"/>
                <w:sz w:val="20"/>
                <w:szCs w:val="20"/>
              </w:rPr>
              <w:t>D</w:t>
            </w:r>
          </w:p>
        </w:tc>
        <w:tc>
          <w:tcPr>
            <w:tcW w:w="677" w:type="dxa"/>
            <w:shd w:val="clear" w:color="auto" w:fill="C00000"/>
          </w:tcPr>
          <w:p w:rsidR="009F25ED" w:rsidRPr="00D87649" w:rsidRDefault="009F25ED" w:rsidP="002C72C1">
            <w:pPr>
              <w:autoSpaceDE w:val="0"/>
              <w:autoSpaceDN w:val="0"/>
              <w:adjustRightInd w:val="0"/>
              <w:spacing w:after="0" w:line="240" w:lineRule="auto"/>
              <w:jc w:val="center"/>
              <w:rPr>
                <w:rFonts w:cs="Calibri"/>
                <w:sz w:val="20"/>
                <w:szCs w:val="20"/>
              </w:rPr>
            </w:pPr>
            <w:r w:rsidRPr="00D87649">
              <w:rPr>
                <w:rFonts w:cs="Calibri"/>
                <w:sz w:val="20"/>
                <w:szCs w:val="20"/>
              </w:rPr>
              <w:t>F</w:t>
            </w:r>
          </w:p>
        </w:tc>
        <w:tc>
          <w:tcPr>
            <w:tcW w:w="3385" w:type="dxa"/>
            <w:gridSpan w:val="5"/>
            <w:vMerge w:val="restart"/>
            <w:shd w:val="clear" w:color="auto" w:fill="BFBFBF" w:themeFill="background1" w:themeFillShade="BF"/>
            <w:vAlign w:val="center"/>
          </w:tcPr>
          <w:p w:rsidR="009F25ED" w:rsidRPr="00D87649" w:rsidRDefault="009F25ED" w:rsidP="002C72C1">
            <w:pPr>
              <w:spacing w:after="0" w:line="240" w:lineRule="auto"/>
              <w:jc w:val="center"/>
              <w:rPr>
                <w:rFonts w:eastAsia="Times New Roman" w:cs="Times New Roman"/>
                <w:sz w:val="20"/>
                <w:szCs w:val="20"/>
              </w:rPr>
            </w:pPr>
            <w:r w:rsidRPr="00D87649">
              <w:rPr>
                <w:rFonts w:eastAsia="Times New Roman" w:cs="Times New Roman"/>
                <w:sz w:val="20"/>
                <w:szCs w:val="20"/>
              </w:rPr>
              <w:t>Not previously graded</w:t>
            </w:r>
          </w:p>
        </w:tc>
      </w:tr>
      <w:tr w:rsidR="00D87649" w:rsidRPr="00D87649" w:rsidTr="00D87649">
        <w:trPr>
          <w:trHeight w:val="173"/>
        </w:trPr>
        <w:tc>
          <w:tcPr>
            <w:tcW w:w="882" w:type="dxa"/>
            <w:shd w:val="clear" w:color="auto" w:fill="auto"/>
            <w:noWrap/>
            <w:vAlign w:val="bottom"/>
            <w:hideMark/>
          </w:tcPr>
          <w:p w:rsidR="009F25ED" w:rsidRPr="00D87649" w:rsidRDefault="009F25ED" w:rsidP="002C72C1">
            <w:pPr>
              <w:spacing w:after="0" w:line="240" w:lineRule="auto"/>
              <w:rPr>
                <w:rFonts w:eastAsia="Times New Roman" w:cs="Times New Roman"/>
                <w:sz w:val="20"/>
                <w:szCs w:val="20"/>
              </w:rPr>
            </w:pPr>
            <w:r w:rsidRPr="00D87649">
              <w:rPr>
                <w:rFonts w:eastAsia="Times New Roman" w:cs="Times New Roman"/>
                <w:sz w:val="20"/>
                <w:szCs w:val="20"/>
              </w:rPr>
              <w:t>DOC</w:t>
            </w:r>
          </w:p>
        </w:tc>
        <w:tc>
          <w:tcPr>
            <w:tcW w:w="1350" w:type="dxa"/>
            <w:shd w:val="clear" w:color="auto" w:fill="C00000"/>
          </w:tcPr>
          <w:p w:rsidR="009F25ED" w:rsidRPr="00D87649" w:rsidRDefault="009F25ED" w:rsidP="002C72C1">
            <w:pPr>
              <w:spacing w:after="0" w:line="240" w:lineRule="auto"/>
              <w:rPr>
                <w:sz w:val="20"/>
                <w:szCs w:val="20"/>
              </w:rPr>
            </w:pPr>
            <w:r w:rsidRPr="00D87649">
              <w:rPr>
                <w:sz w:val="20"/>
                <w:szCs w:val="20"/>
              </w:rPr>
              <w:t xml:space="preserve">2.8 </w:t>
            </w:r>
            <w:proofErr w:type="gramStart"/>
            <w:r w:rsidRPr="00D87649">
              <w:rPr>
                <w:sz w:val="20"/>
                <w:szCs w:val="20"/>
              </w:rPr>
              <w:t>of</w:t>
            </w:r>
            <w:proofErr w:type="gramEnd"/>
            <w:r w:rsidRPr="00D87649">
              <w:rPr>
                <w:sz w:val="20"/>
                <w:szCs w:val="20"/>
              </w:rPr>
              <w:t xml:space="preserve"> 5 (56%)</w:t>
            </w:r>
          </w:p>
        </w:tc>
        <w:tc>
          <w:tcPr>
            <w:tcW w:w="1224" w:type="dxa"/>
            <w:shd w:val="clear" w:color="auto" w:fill="C00000"/>
          </w:tcPr>
          <w:p w:rsidR="009F25ED" w:rsidRPr="00D87649" w:rsidRDefault="009F25ED" w:rsidP="002C72C1">
            <w:pPr>
              <w:autoSpaceDE w:val="0"/>
              <w:autoSpaceDN w:val="0"/>
              <w:adjustRightInd w:val="0"/>
              <w:spacing w:after="0" w:line="240" w:lineRule="auto"/>
              <w:jc w:val="center"/>
              <w:rPr>
                <w:rFonts w:cs="Calibri"/>
                <w:sz w:val="20"/>
                <w:szCs w:val="20"/>
              </w:rPr>
            </w:pPr>
            <w:r w:rsidRPr="00D87649">
              <w:rPr>
                <w:rFonts w:cs="Calibri"/>
                <w:sz w:val="20"/>
                <w:szCs w:val="20"/>
              </w:rPr>
              <w:t>4 (40%)</w:t>
            </w:r>
          </w:p>
        </w:tc>
        <w:tc>
          <w:tcPr>
            <w:tcW w:w="677" w:type="dxa"/>
            <w:shd w:val="clear" w:color="auto" w:fill="C00000"/>
          </w:tcPr>
          <w:p w:rsidR="009F25ED" w:rsidRPr="00D87649" w:rsidRDefault="00D87649" w:rsidP="002C72C1">
            <w:pPr>
              <w:autoSpaceDE w:val="0"/>
              <w:autoSpaceDN w:val="0"/>
              <w:adjustRightInd w:val="0"/>
              <w:spacing w:after="0" w:line="240" w:lineRule="auto"/>
              <w:jc w:val="center"/>
              <w:rPr>
                <w:rFonts w:cs="Calibri"/>
                <w:sz w:val="20"/>
                <w:szCs w:val="20"/>
              </w:rPr>
            </w:pPr>
            <w:r>
              <w:rPr>
                <w:rFonts w:cs="Calibri"/>
                <w:sz w:val="20"/>
                <w:szCs w:val="20"/>
              </w:rPr>
              <w:t>F</w:t>
            </w:r>
          </w:p>
        </w:tc>
        <w:tc>
          <w:tcPr>
            <w:tcW w:w="677" w:type="dxa"/>
            <w:shd w:val="clear" w:color="auto" w:fill="C00000"/>
          </w:tcPr>
          <w:p w:rsidR="009F25ED" w:rsidRPr="00D87649" w:rsidRDefault="009F25ED" w:rsidP="002C72C1">
            <w:pPr>
              <w:autoSpaceDE w:val="0"/>
              <w:autoSpaceDN w:val="0"/>
              <w:adjustRightInd w:val="0"/>
              <w:spacing w:after="0" w:line="240" w:lineRule="auto"/>
              <w:jc w:val="center"/>
              <w:rPr>
                <w:rFonts w:cs="Calibri"/>
                <w:sz w:val="20"/>
                <w:szCs w:val="20"/>
              </w:rPr>
            </w:pPr>
            <w:r w:rsidRPr="00D87649">
              <w:rPr>
                <w:rFonts w:cs="Calibri"/>
                <w:sz w:val="20"/>
                <w:szCs w:val="20"/>
              </w:rPr>
              <w:t>F</w:t>
            </w:r>
          </w:p>
        </w:tc>
        <w:tc>
          <w:tcPr>
            <w:tcW w:w="3385" w:type="dxa"/>
            <w:gridSpan w:val="5"/>
            <w:vMerge/>
            <w:shd w:val="clear" w:color="auto" w:fill="BFBFBF" w:themeFill="background1" w:themeFillShade="BF"/>
            <w:vAlign w:val="bottom"/>
          </w:tcPr>
          <w:p w:rsidR="009F25ED" w:rsidRPr="00D87649" w:rsidRDefault="009F25ED" w:rsidP="002C72C1">
            <w:pPr>
              <w:spacing w:after="0" w:line="240" w:lineRule="auto"/>
              <w:jc w:val="center"/>
              <w:rPr>
                <w:rFonts w:eastAsia="Times New Roman" w:cs="Times New Roman"/>
                <w:sz w:val="20"/>
                <w:szCs w:val="20"/>
              </w:rPr>
            </w:pPr>
          </w:p>
        </w:tc>
      </w:tr>
      <w:tr w:rsidR="00D87649" w:rsidRPr="00D87649" w:rsidTr="00C40564">
        <w:trPr>
          <w:trHeight w:val="173"/>
        </w:trPr>
        <w:tc>
          <w:tcPr>
            <w:tcW w:w="882" w:type="dxa"/>
            <w:shd w:val="clear" w:color="auto" w:fill="auto"/>
            <w:noWrap/>
            <w:vAlign w:val="bottom"/>
            <w:hideMark/>
          </w:tcPr>
          <w:p w:rsidR="00AA63C4" w:rsidRPr="00D87649" w:rsidRDefault="00AA63C4" w:rsidP="002C72C1">
            <w:pPr>
              <w:spacing w:after="0" w:line="240" w:lineRule="auto"/>
              <w:rPr>
                <w:rFonts w:eastAsia="Times New Roman" w:cs="Times New Roman"/>
                <w:sz w:val="20"/>
                <w:szCs w:val="20"/>
              </w:rPr>
            </w:pPr>
            <w:r w:rsidRPr="00D87649">
              <w:rPr>
                <w:rFonts w:eastAsia="Times New Roman" w:cs="Times New Roman"/>
                <w:sz w:val="20"/>
                <w:szCs w:val="20"/>
              </w:rPr>
              <w:t>DOD</w:t>
            </w:r>
          </w:p>
        </w:tc>
        <w:tc>
          <w:tcPr>
            <w:tcW w:w="3928" w:type="dxa"/>
            <w:gridSpan w:val="4"/>
            <w:shd w:val="clear" w:color="auto" w:fill="BFBFBF" w:themeFill="background1" w:themeFillShade="BF"/>
          </w:tcPr>
          <w:p w:rsidR="00AA63C4" w:rsidRPr="00D87649" w:rsidRDefault="00AA63C4" w:rsidP="002C72C1">
            <w:pPr>
              <w:autoSpaceDE w:val="0"/>
              <w:autoSpaceDN w:val="0"/>
              <w:adjustRightInd w:val="0"/>
              <w:spacing w:after="0" w:line="240" w:lineRule="auto"/>
              <w:jc w:val="center"/>
              <w:rPr>
                <w:rFonts w:cs="Calibri"/>
                <w:sz w:val="20"/>
                <w:szCs w:val="20"/>
              </w:rPr>
            </w:pPr>
            <w:r w:rsidRPr="00D87649">
              <w:rPr>
                <w:rFonts w:cs="Calibri"/>
                <w:sz w:val="20"/>
                <w:szCs w:val="20"/>
              </w:rPr>
              <w:t>Not publicly reported</w:t>
            </w:r>
          </w:p>
        </w:tc>
        <w:tc>
          <w:tcPr>
            <w:tcW w:w="3385" w:type="dxa"/>
            <w:gridSpan w:val="5"/>
            <w:vMerge/>
            <w:shd w:val="clear" w:color="auto" w:fill="BFBFBF" w:themeFill="background1" w:themeFillShade="BF"/>
            <w:vAlign w:val="bottom"/>
          </w:tcPr>
          <w:p w:rsidR="00AA63C4" w:rsidRPr="00D87649" w:rsidRDefault="00AA63C4"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Ed.</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2.4 </w:t>
            </w:r>
            <w:proofErr w:type="gramStart"/>
            <w:r w:rsidRPr="00D87649">
              <w:rPr>
                <w:sz w:val="20"/>
                <w:szCs w:val="20"/>
              </w:rPr>
              <w:t>of</w:t>
            </w:r>
            <w:proofErr w:type="gramEnd"/>
            <w:r w:rsidRPr="00D87649">
              <w:rPr>
                <w:sz w:val="20"/>
                <w:szCs w:val="20"/>
              </w:rPr>
              <w:t xml:space="preserve"> 5 (48%)</w:t>
            </w:r>
          </w:p>
        </w:tc>
        <w:tc>
          <w:tcPr>
            <w:tcW w:w="1224" w:type="dxa"/>
            <w:shd w:val="clear" w:color="auto" w:fill="92D05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8 (80%)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Energy</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 xml:space="preserve">3.2 </w:t>
            </w:r>
            <w:proofErr w:type="gramStart"/>
            <w:r w:rsidRPr="00D87649">
              <w:rPr>
                <w:sz w:val="20"/>
                <w:szCs w:val="20"/>
              </w:rPr>
              <w:t>of</w:t>
            </w:r>
            <w:proofErr w:type="gramEnd"/>
            <w:r w:rsidRPr="00D87649">
              <w:rPr>
                <w:sz w:val="20"/>
                <w:szCs w:val="20"/>
              </w:rPr>
              <w:t xml:space="preserve"> 5 (64%)</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1 (10%)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HHS</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2.4 </w:t>
            </w:r>
            <w:proofErr w:type="gramStart"/>
            <w:r w:rsidRPr="00D87649">
              <w:rPr>
                <w:sz w:val="20"/>
                <w:szCs w:val="20"/>
              </w:rPr>
              <w:t>of</w:t>
            </w:r>
            <w:proofErr w:type="gramEnd"/>
            <w:r w:rsidRPr="00D87649">
              <w:rPr>
                <w:sz w:val="20"/>
                <w:szCs w:val="20"/>
              </w:rPr>
              <w:t xml:space="preserve"> 5 (48%)</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4 (40%)</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F</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DHS</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 xml:space="preserve">3.4 </w:t>
            </w:r>
            <w:proofErr w:type="gramStart"/>
            <w:r w:rsidRPr="00D87649">
              <w:rPr>
                <w:sz w:val="20"/>
                <w:szCs w:val="20"/>
              </w:rPr>
              <w:t>of</w:t>
            </w:r>
            <w:proofErr w:type="gramEnd"/>
            <w:r w:rsidRPr="00D87649">
              <w:rPr>
                <w:sz w:val="20"/>
                <w:szCs w:val="20"/>
              </w:rPr>
              <w:t xml:space="preserve"> 5 (68%)</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2 (20%)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HUD</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2.2 </w:t>
            </w:r>
            <w:proofErr w:type="gramStart"/>
            <w:r w:rsidRPr="00D87649">
              <w:rPr>
                <w:sz w:val="20"/>
                <w:szCs w:val="20"/>
              </w:rPr>
              <w:t>of</w:t>
            </w:r>
            <w:proofErr w:type="gramEnd"/>
            <w:r w:rsidRPr="00D87649">
              <w:rPr>
                <w:sz w:val="20"/>
                <w:szCs w:val="20"/>
              </w:rPr>
              <w:t xml:space="preserve"> 5 (44%)</w:t>
            </w:r>
          </w:p>
        </w:tc>
        <w:tc>
          <w:tcPr>
            <w:tcW w:w="1224" w:type="dxa"/>
            <w:shd w:val="clear" w:color="auto" w:fill="0070C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9 (90%)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C</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DOI</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3 of 5 (60%)</w:t>
            </w:r>
          </w:p>
        </w:tc>
        <w:tc>
          <w:tcPr>
            <w:tcW w:w="1224" w:type="dxa"/>
            <w:shd w:val="clear" w:color="auto" w:fill="FFFF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7 (70%)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DOJ</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3 of 5 (60%)</w:t>
            </w:r>
          </w:p>
        </w:tc>
        <w:tc>
          <w:tcPr>
            <w:tcW w:w="1224" w:type="dxa"/>
            <w:shd w:val="clear" w:color="auto" w:fill="FFC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6 (60%)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DOL</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2.8 </w:t>
            </w:r>
            <w:proofErr w:type="gramStart"/>
            <w:r w:rsidRPr="00D87649">
              <w:rPr>
                <w:sz w:val="20"/>
                <w:szCs w:val="20"/>
              </w:rPr>
              <w:t>of</w:t>
            </w:r>
            <w:proofErr w:type="gramEnd"/>
            <w:r w:rsidRPr="00D87649">
              <w:rPr>
                <w:sz w:val="20"/>
                <w:szCs w:val="20"/>
              </w:rPr>
              <w:t xml:space="preserve"> 5 (56%)</w:t>
            </w:r>
          </w:p>
        </w:tc>
        <w:tc>
          <w:tcPr>
            <w:tcW w:w="1224" w:type="dxa"/>
            <w:shd w:val="clear" w:color="auto" w:fill="FFC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6 (60%)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State</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1.8 </w:t>
            </w:r>
            <w:proofErr w:type="gramStart"/>
            <w:r w:rsidRPr="00D87649">
              <w:rPr>
                <w:sz w:val="20"/>
                <w:szCs w:val="20"/>
              </w:rPr>
              <w:t>of</w:t>
            </w:r>
            <w:proofErr w:type="gramEnd"/>
            <w:r w:rsidRPr="00D87649">
              <w:rPr>
                <w:sz w:val="20"/>
                <w:szCs w:val="20"/>
              </w:rPr>
              <w:t xml:space="preserve"> 5 (36%)</w:t>
            </w:r>
          </w:p>
        </w:tc>
        <w:tc>
          <w:tcPr>
            <w:tcW w:w="1224" w:type="dxa"/>
            <w:shd w:val="clear" w:color="auto" w:fill="92D05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8 (80%)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DOT</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2 of 5 (40%)</w:t>
            </w:r>
          </w:p>
        </w:tc>
        <w:tc>
          <w:tcPr>
            <w:tcW w:w="1224" w:type="dxa"/>
            <w:shd w:val="clear" w:color="auto" w:fill="FFFF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7 (70%)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Treas.</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3 of 5 (60%)</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3 (30%)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VA</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3 of 5 (60%)</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5 (50%)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EPA</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3 of 5 (60%)</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3 (30%)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GSA</w:t>
            </w:r>
          </w:p>
        </w:tc>
        <w:tc>
          <w:tcPr>
            <w:tcW w:w="1350" w:type="dxa"/>
            <w:shd w:val="clear" w:color="auto" w:fill="FFC000"/>
          </w:tcPr>
          <w:p w:rsidR="00D87649" w:rsidRPr="00D87649" w:rsidRDefault="00D87649" w:rsidP="002C72C1">
            <w:pPr>
              <w:spacing w:after="0" w:line="240" w:lineRule="auto"/>
              <w:rPr>
                <w:sz w:val="20"/>
                <w:szCs w:val="20"/>
              </w:rPr>
            </w:pPr>
            <w:r w:rsidRPr="00D87649">
              <w:rPr>
                <w:sz w:val="20"/>
                <w:szCs w:val="20"/>
              </w:rPr>
              <w:t xml:space="preserve">3.2 </w:t>
            </w:r>
            <w:proofErr w:type="gramStart"/>
            <w:r w:rsidRPr="00D87649">
              <w:rPr>
                <w:sz w:val="20"/>
                <w:szCs w:val="20"/>
              </w:rPr>
              <w:t>of</w:t>
            </w:r>
            <w:proofErr w:type="gramEnd"/>
            <w:r w:rsidRPr="00D87649">
              <w:rPr>
                <w:sz w:val="20"/>
                <w:szCs w:val="20"/>
              </w:rPr>
              <w:t xml:space="preserve"> 5 (64%)</w:t>
            </w:r>
          </w:p>
        </w:tc>
        <w:tc>
          <w:tcPr>
            <w:tcW w:w="1224" w:type="dxa"/>
            <w:shd w:val="clear" w:color="auto" w:fill="92D05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8 (80%)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NASA</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2 of 5 (40%)</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4 (40%)</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F</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NSF</w:t>
            </w:r>
          </w:p>
        </w:tc>
        <w:tc>
          <w:tcPr>
            <w:tcW w:w="1350" w:type="dxa"/>
            <w:shd w:val="clear" w:color="auto" w:fill="92D050"/>
          </w:tcPr>
          <w:p w:rsidR="00D87649" w:rsidRPr="00D87649" w:rsidRDefault="00D87649" w:rsidP="002C72C1">
            <w:pPr>
              <w:spacing w:after="0" w:line="240" w:lineRule="auto"/>
              <w:rPr>
                <w:sz w:val="20"/>
                <w:szCs w:val="20"/>
              </w:rPr>
            </w:pPr>
            <w:r w:rsidRPr="00D87649">
              <w:rPr>
                <w:sz w:val="20"/>
                <w:szCs w:val="20"/>
              </w:rPr>
              <w:t>4 of 5 (80%)</w:t>
            </w:r>
          </w:p>
        </w:tc>
        <w:tc>
          <w:tcPr>
            <w:tcW w:w="1224" w:type="dxa"/>
            <w:shd w:val="clear" w:color="auto" w:fill="92D05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8 (80%)</w:t>
            </w:r>
          </w:p>
        </w:tc>
        <w:tc>
          <w:tcPr>
            <w:tcW w:w="677" w:type="dxa"/>
            <w:shd w:val="clear" w:color="auto" w:fill="92D05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B</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C</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NRC</w:t>
            </w:r>
          </w:p>
        </w:tc>
        <w:tc>
          <w:tcPr>
            <w:tcW w:w="1350" w:type="dxa"/>
            <w:shd w:val="clear" w:color="auto" w:fill="FFFF00"/>
          </w:tcPr>
          <w:p w:rsidR="00D87649" w:rsidRPr="00D87649" w:rsidRDefault="00D87649" w:rsidP="002C72C1">
            <w:pPr>
              <w:spacing w:after="0" w:line="240" w:lineRule="auto"/>
              <w:rPr>
                <w:sz w:val="20"/>
                <w:szCs w:val="20"/>
              </w:rPr>
            </w:pPr>
            <w:r w:rsidRPr="00D87649">
              <w:rPr>
                <w:sz w:val="20"/>
                <w:szCs w:val="20"/>
              </w:rPr>
              <w:t xml:space="preserve">3.8 </w:t>
            </w:r>
            <w:proofErr w:type="gramStart"/>
            <w:r w:rsidRPr="00D87649">
              <w:rPr>
                <w:sz w:val="20"/>
                <w:szCs w:val="20"/>
              </w:rPr>
              <w:t>of</w:t>
            </w:r>
            <w:proofErr w:type="gramEnd"/>
            <w:r w:rsidRPr="00D87649">
              <w:rPr>
                <w:sz w:val="20"/>
                <w:szCs w:val="20"/>
              </w:rPr>
              <w:t xml:space="preserve"> 5 (76%)</w:t>
            </w:r>
          </w:p>
        </w:tc>
        <w:tc>
          <w:tcPr>
            <w:tcW w:w="1224" w:type="dxa"/>
            <w:shd w:val="clear" w:color="auto" w:fill="0070C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9 (90%)</w:t>
            </w:r>
          </w:p>
        </w:tc>
        <w:tc>
          <w:tcPr>
            <w:tcW w:w="677" w:type="dxa"/>
            <w:shd w:val="clear" w:color="auto" w:fill="92D05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B</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C</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OPM</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2.6 </w:t>
            </w:r>
            <w:proofErr w:type="gramStart"/>
            <w:r w:rsidRPr="00D87649">
              <w:rPr>
                <w:sz w:val="20"/>
                <w:szCs w:val="20"/>
              </w:rPr>
              <w:t>of</w:t>
            </w:r>
            <w:proofErr w:type="gramEnd"/>
            <w:r w:rsidRPr="00D87649">
              <w:rPr>
                <w:sz w:val="20"/>
                <w:szCs w:val="20"/>
              </w:rPr>
              <w:t xml:space="preserve"> 5 (52%)</w:t>
            </w:r>
          </w:p>
        </w:tc>
        <w:tc>
          <w:tcPr>
            <w:tcW w:w="1224" w:type="dxa"/>
            <w:shd w:val="clear" w:color="auto" w:fill="0070C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7 (70%)</w:t>
            </w:r>
          </w:p>
        </w:tc>
        <w:tc>
          <w:tcPr>
            <w:tcW w:w="677" w:type="dxa"/>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D</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C</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SBA</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2.2 </w:t>
            </w:r>
            <w:proofErr w:type="gramStart"/>
            <w:r w:rsidRPr="00D87649">
              <w:rPr>
                <w:sz w:val="20"/>
                <w:szCs w:val="20"/>
              </w:rPr>
              <w:t>of</w:t>
            </w:r>
            <w:proofErr w:type="gramEnd"/>
            <w:r w:rsidRPr="00D87649">
              <w:rPr>
                <w:sz w:val="20"/>
                <w:szCs w:val="20"/>
              </w:rPr>
              <w:t xml:space="preserve"> 5 (44%)</w:t>
            </w:r>
          </w:p>
        </w:tc>
        <w:tc>
          <w:tcPr>
            <w:tcW w:w="1224" w:type="dxa"/>
            <w:shd w:val="clear" w:color="auto" w:fill="C0000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3 (30%)</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F</w:t>
            </w:r>
          </w:p>
        </w:tc>
        <w:tc>
          <w:tcPr>
            <w:tcW w:w="677" w:type="dxa"/>
            <w:shd w:val="clear" w:color="auto" w:fill="C00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F</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SSA</w:t>
            </w:r>
          </w:p>
        </w:tc>
        <w:tc>
          <w:tcPr>
            <w:tcW w:w="1350" w:type="dxa"/>
            <w:shd w:val="clear" w:color="auto" w:fill="C00000"/>
          </w:tcPr>
          <w:p w:rsidR="00D87649" w:rsidRPr="00D87649" w:rsidRDefault="00D87649" w:rsidP="002C72C1">
            <w:pPr>
              <w:spacing w:after="0" w:line="240" w:lineRule="auto"/>
              <w:rPr>
                <w:sz w:val="20"/>
                <w:szCs w:val="20"/>
              </w:rPr>
            </w:pPr>
            <w:r w:rsidRPr="00D87649">
              <w:rPr>
                <w:sz w:val="20"/>
                <w:szCs w:val="20"/>
              </w:rPr>
              <w:t xml:space="preserve">2.2 </w:t>
            </w:r>
            <w:proofErr w:type="gramStart"/>
            <w:r w:rsidRPr="00D87649">
              <w:rPr>
                <w:sz w:val="20"/>
                <w:szCs w:val="20"/>
              </w:rPr>
              <w:t>of</w:t>
            </w:r>
            <w:proofErr w:type="gramEnd"/>
            <w:r w:rsidRPr="00D87649">
              <w:rPr>
                <w:sz w:val="20"/>
                <w:szCs w:val="20"/>
              </w:rPr>
              <w:t xml:space="preserve"> 5 (44%)</w:t>
            </w:r>
          </w:p>
        </w:tc>
        <w:tc>
          <w:tcPr>
            <w:tcW w:w="1224" w:type="dxa"/>
            <w:shd w:val="clear" w:color="auto" w:fill="0070C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10 (100%)</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C</w:t>
            </w:r>
          </w:p>
        </w:tc>
        <w:tc>
          <w:tcPr>
            <w:tcW w:w="677" w:type="dxa"/>
            <w:shd w:val="clear" w:color="auto" w:fill="FFFF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C</w:t>
            </w:r>
          </w:p>
        </w:tc>
        <w:tc>
          <w:tcPr>
            <w:tcW w:w="3385" w:type="dxa"/>
            <w:gridSpan w:val="5"/>
            <w:vMerge/>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r w:rsidR="00D87649" w:rsidRPr="00D87649" w:rsidTr="00D87649">
        <w:trPr>
          <w:trHeight w:val="173"/>
        </w:trPr>
        <w:tc>
          <w:tcPr>
            <w:tcW w:w="882" w:type="dxa"/>
            <w:tcBorders>
              <w:bottom w:val="single" w:sz="8" w:space="0" w:color="auto"/>
            </w:tcBorders>
            <w:shd w:val="clear" w:color="auto" w:fill="auto"/>
            <w:noWrap/>
            <w:vAlign w:val="bottom"/>
            <w:hideMark/>
          </w:tcPr>
          <w:p w:rsidR="00D87649" w:rsidRPr="00D87649" w:rsidRDefault="00D87649" w:rsidP="002C72C1">
            <w:pPr>
              <w:spacing w:after="0" w:line="240" w:lineRule="auto"/>
              <w:rPr>
                <w:rFonts w:eastAsia="Times New Roman" w:cs="Times New Roman"/>
                <w:sz w:val="20"/>
                <w:szCs w:val="20"/>
              </w:rPr>
            </w:pPr>
            <w:r w:rsidRPr="00D87649">
              <w:rPr>
                <w:rFonts w:eastAsia="Times New Roman" w:cs="Times New Roman"/>
                <w:sz w:val="20"/>
                <w:szCs w:val="20"/>
              </w:rPr>
              <w:t>USAID</w:t>
            </w:r>
          </w:p>
        </w:tc>
        <w:tc>
          <w:tcPr>
            <w:tcW w:w="1350" w:type="dxa"/>
            <w:tcBorders>
              <w:bottom w:val="single" w:sz="8" w:space="0" w:color="auto"/>
            </w:tcBorders>
            <w:shd w:val="clear" w:color="auto" w:fill="FFC000"/>
          </w:tcPr>
          <w:p w:rsidR="00D87649" w:rsidRPr="00D87649" w:rsidRDefault="00D87649" w:rsidP="002C72C1">
            <w:pPr>
              <w:spacing w:after="0" w:line="240" w:lineRule="auto"/>
              <w:rPr>
                <w:sz w:val="20"/>
                <w:szCs w:val="20"/>
              </w:rPr>
            </w:pPr>
            <w:r w:rsidRPr="00D87649">
              <w:rPr>
                <w:sz w:val="20"/>
                <w:szCs w:val="20"/>
              </w:rPr>
              <w:t xml:space="preserve">3.2 </w:t>
            </w:r>
            <w:proofErr w:type="gramStart"/>
            <w:r w:rsidRPr="00D87649">
              <w:rPr>
                <w:sz w:val="20"/>
                <w:szCs w:val="20"/>
              </w:rPr>
              <w:t>of</w:t>
            </w:r>
            <w:proofErr w:type="gramEnd"/>
            <w:r w:rsidRPr="00D87649">
              <w:rPr>
                <w:sz w:val="20"/>
                <w:szCs w:val="20"/>
              </w:rPr>
              <w:t xml:space="preserve"> 5 (64%)</w:t>
            </w:r>
          </w:p>
        </w:tc>
        <w:tc>
          <w:tcPr>
            <w:tcW w:w="1224" w:type="dxa"/>
            <w:tcBorders>
              <w:bottom w:val="single" w:sz="8" w:space="0" w:color="auto"/>
            </w:tcBorders>
            <w:shd w:val="clear" w:color="auto" w:fill="0070C0"/>
          </w:tcPr>
          <w:p w:rsidR="00D87649" w:rsidRPr="00D87649" w:rsidRDefault="00D87649" w:rsidP="002C72C1">
            <w:pPr>
              <w:autoSpaceDE w:val="0"/>
              <w:autoSpaceDN w:val="0"/>
              <w:adjustRightInd w:val="0"/>
              <w:spacing w:after="0" w:line="240" w:lineRule="auto"/>
              <w:jc w:val="center"/>
              <w:rPr>
                <w:rFonts w:cs="Calibri"/>
                <w:sz w:val="20"/>
              </w:rPr>
            </w:pPr>
            <w:r w:rsidRPr="00D87649">
              <w:rPr>
                <w:rFonts w:cs="Calibri"/>
                <w:sz w:val="20"/>
              </w:rPr>
              <w:t>10 (100%)</w:t>
            </w:r>
          </w:p>
        </w:tc>
        <w:tc>
          <w:tcPr>
            <w:tcW w:w="677" w:type="dxa"/>
            <w:tcBorders>
              <w:bottom w:val="single" w:sz="8" w:space="0" w:color="auto"/>
            </w:tcBorders>
            <w:shd w:val="clear" w:color="auto" w:fill="92D050"/>
          </w:tcPr>
          <w:p w:rsidR="00D87649" w:rsidRPr="00D87649" w:rsidRDefault="00D87649" w:rsidP="002C72C1">
            <w:pPr>
              <w:autoSpaceDE w:val="0"/>
              <w:autoSpaceDN w:val="0"/>
              <w:adjustRightInd w:val="0"/>
              <w:spacing w:after="0" w:line="240" w:lineRule="auto"/>
              <w:jc w:val="center"/>
              <w:rPr>
                <w:rFonts w:ascii="Calibri" w:hAnsi="Calibri" w:cs="Calibri"/>
                <w:sz w:val="20"/>
                <w:szCs w:val="20"/>
              </w:rPr>
            </w:pPr>
            <w:r w:rsidRPr="00D87649">
              <w:rPr>
                <w:rFonts w:ascii="Calibri" w:hAnsi="Calibri" w:cs="Calibri"/>
                <w:sz w:val="20"/>
                <w:szCs w:val="20"/>
              </w:rPr>
              <w:t>B</w:t>
            </w:r>
          </w:p>
        </w:tc>
        <w:tc>
          <w:tcPr>
            <w:tcW w:w="677" w:type="dxa"/>
            <w:tcBorders>
              <w:bottom w:val="single" w:sz="8" w:space="0" w:color="auto"/>
            </w:tcBorders>
            <w:shd w:val="clear" w:color="auto" w:fill="FFC000"/>
          </w:tcPr>
          <w:p w:rsidR="00D87649" w:rsidRPr="00D87649" w:rsidRDefault="00D87649" w:rsidP="002C72C1">
            <w:pPr>
              <w:autoSpaceDE w:val="0"/>
              <w:autoSpaceDN w:val="0"/>
              <w:adjustRightInd w:val="0"/>
              <w:spacing w:after="0" w:line="240" w:lineRule="auto"/>
              <w:jc w:val="center"/>
              <w:rPr>
                <w:rFonts w:ascii="Calibri" w:hAnsi="Calibri" w:cs="Calibri"/>
                <w:sz w:val="20"/>
              </w:rPr>
            </w:pPr>
            <w:r w:rsidRPr="00D87649">
              <w:rPr>
                <w:rFonts w:ascii="Calibri" w:hAnsi="Calibri" w:cs="Calibri"/>
                <w:sz w:val="20"/>
              </w:rPr>
              <w:t>D</w:t>
            </w:r>
          </w:p>
        </w:tc>
        <w:tc>
          <w:tcPr>
            <w:tcW w:w="3385" w:type="dxa"/>
            <w:gridSpan w:val="5"/>
            <w:vMerge/>
            <w:tcBorders>
              <w:bottom w:val="single" w:sz="8" w:space="0" w:color="auto"/>
            </w:tcBorders>
            <w:shd w:val="clear" w:color="auto" w:fill="BFBFBF" w:themeFill="background1" w:themeFillShade="BF"/>
            <w:vAlign w:val="bottom"/>
          </w:tcPr>
          <w:p w:rsidR="00D87649" w:rsidRPr="00D87649" w:rsidRDefault="00D87649" w:rsidP="002C72C1">
            <w:pPr>
              <w:spacing w:after="0" w:line="240" w:lineRule="auto"/>
              <w:jc w:val="center"/>
              <w:rPr>
                <w:rFonts w:eastAsia="Times New Roman" w:cs="Times New Roman"/>
                <w:sz w:val="20"/>
                <w:szCs w:val="20"/>
              </w:rPr>
            </w:pPr>
          </w:p>
        </w:tc>
      </w:tr>
    </w:tbl>
    <w:p w:rsidR="00713C11" w:rsidRPr="00B65640" w:rsidRDefault="00713C11" w:rsidP="002C72C1">
      <w:pPr>
        <w:pStyle w:val="BodyText"/>
        <w:spacing w:line="240" w:lineRule="auto"/>
        <w:rPr>
          <w:highlight w:val="yellow"/>
        </w:rPr>
      </w:pPr>
      <w:r w:rsidRPr="008B2287">
        <w:rPr>
          <w:rStyle w:val="Heading3Char"/>
          <w:rFonts w:asciiTheme="minorHAnsi" w:hAnsiTheme="minorHAnsi"/>
        </w:rPr>
        <w:t>Why it’s important</w:t>
      </w:r>
      <w:r w:rsidRPr="00E85C67">
        <w:t>:</w:t>
      </w:r>
      <w:r w:rsidRPr="00E85C67">
        <w:rPr>
          <w:b/>
        </w:rPr>
        <w:t xml:space="preserve"> </w:t>
      </w:r>
      <w:r w:rsidR="00A630CA">
        <w:t>T</w:t>
      </w:r>
      <w:r w:rsidR="00A630CA" w:rsidRPr="00A630CA">
        <w:t>he increasingly sophisticated threats and frequent cyber incidents underscore the urgent need for effective information security.</w:t>
      </w:r>
    </w:p>
    <w:p w:rsidR="00D61A5D" w:rsidRDefault="00713C11" w:rsidP="002C72C1">
      <w:pPr>
        <w:pStyle w:val="BodyText"/>
        <w:spacing w:line="240" w:lineRule="auto"/>
      </w:pPr>
      <w:r w:rsidRPr="000B4119">
        <w:rPr>
          <w:rStyle w:val="Heading3Char"/>
          <w:rFonts w:asciiTheme="minorHAnsi" w:hAnsiTheme="minorHAnsi"/>
        </w:rPr>
        <w:t>Calculation</w:t>
      </w:r>
      <w:r w:rsidRPr="000B4119">
        <w:t xml:space="preserve">: </w:t>
      </w:r>
      <w:r w:rsidR="00D61A5D">
        <w:t xml:space="preserve">This area combines </w:t>
      </w:r>
      <w:r w:rsidR="00D87649">
        <w:t xml:space="preserve">the assessments of </w:t>
      </w:r>
      <w:r w:rsidR="00D61A5D">
        <w:t>agencies’ Inspector</w:t>
      </w:r>
      <w:r w:rsidR="00D87649">
        <w:t>s</w:t>
      </w:r>
      <w:r w:rsidR="00D61A5D">
        <w:t xml:space="preserve"> General (IG) and cross-agency priority (CAP) cybersecurity goals</w:t>
      </w:r>
      <w:r w:rsidR="00D87649">
        <w:t xml:space="preserve">, which </w:t>
      </w:r>
      <w:r w:rsidR="00D61A5D">
        <w:t>are each half of the grade</w:t>
      </w:r>
      <w:r w:rsidR="00D61A5D" w:rsidRPr="00F20822">
        <w:t>.</w:t>
      </w:r>
      <w:r w:rsidR="00D61A5D">
        <w:t xml:space="preserve"> </w:t>
      </w:r>
      <w:r w:rsidR="00D61A5D" w:rsidRPr="00407879">
        <w:t xml:space="preserve">For example, </w:t>
      </w:r>
      <w:r w:rsidR="00D61A5D">
        <w:t>N</w:t>
      </w:r>
      <w:r w:rsidR="00D87649">
        <w:t>RC</w:t>
      </w:r>
      <w:r w:rsidR="00D61A5D">
        <w:t xml:space="preserve">’s average IG assessment was </w:t>
      </w:r>
      <w:r w:rsidR="00D87649">
        <w:t>3.8</w:t>
      </w:r>
      <w:r w:rsidR="00D61A5D">
        <w:t xml:space="preserve"> out of 5 (</w:t>
      </w:r>
      <w:r w:rsidR="00D87649">
        <w:t>76</w:t>
      </w:r>
      <w:r w:rsidR="00D61A5D">
        <w:t xml:space="preserve">% - a </w:t>
      </w:r>
      <w:r w:rsidR="00D87649">
        <w:t>C</w:t>
      </w:r>
      <w:r w:rsidR="00D61A5D">
        <w:t xml:space="preserve">) and the agency met </w:t>
      </w:r>
      <w:r w:rsidR="00D87649">
        <w:t xml:space="preserve">9 of the 10 </w:t>
      </w:r>
      <w:r w:rsidR="00D61A5D">
        <w:t>CAP goal metrics (</w:t>
      </w:r>
      <w:r w:rsidR="00D87649">
        <w:t>90</w:t>
      </w:r>
      <w:r w:rsidR="00D61A5D">
        <w:t>% - a</w:t>
      </w:r>
      <w:r w:rsidR="00D87649">
        <w:t>n</w:t>
      </w:r>
      <w:r w:rsidR="00D61A5D">
        <w:t xml:space="preserve"> </w:t>
      </w:r>
      <w:r w:rsidR="00D87649">
        <w:t>A</w:t>
      </w:r>
      <w:r w:rsidR="00D61A5D">
        <w:t>)</w:t>
      </w:r>
      <w:r w:rsidR="00D61A5D" w:rsidRPr="00E83EA5">
        <w:t>. Th</w:t>
      </w:r>
      <w:r w:rsidR="00D87649">
        <w:t xml:space="preserve">ose average </w:t>
      </w:r>
      <w:r w:rsidR="00D61A5D">
        <w:t xml:space="preserve">into a </w:t>
      </w:r>
      <w:r w:rsidR="00D87649">
        <w:t>B</w:t>
      </w:r>
      <w:r w:rsidR="00D61A5D">
        <w:t xml:space="preserve"> for this area</w:t>
      </w:r>
      <w:r w:rsidR="00D61A5D" w:rsidRPr="00E83EA5">
        <w:t>.</w:t>
      </w:r>
    </w:p>
    <w:p w:rsidR="00713C11" w:rsidRPr="000B4119" w:rsidRDefault="00713C11" w:rsidP="002C72C1">
      <w:pPr>
        <w:pStyle w:val="BodyText"/>
        <w:spacing w:line="240" w:lineRule="auto"/>
      </w:pPr>
      <w:r w:rsidRPr="000B4119">
        <w:rPr>
          <w:rStyle w:val="Heading3Char"/>
          <w:rFonts w:asciiTheme="minorHAnsi" w:hAnsiTheme="minorHAnsi"/>
        </w:rPr>
        <w:t>Data source:</w:t>
      </w:r>
      <w:r w:rsidRPr="000B4119">
        <w:t xml:space="preserve"> </w:t>
      </w:r>
      <w:r w:rsidR="00FB1A8E">
        <w:t xml:space="preserve">OMB’s annual </w:t>
      </w:r>
      <w:r w:rsidR="00D87649">
        <w:t xml:space="preserve">compilation of IGs’ 2017 </w:t>
      </w:r>
      <w:r w:rsidR="00FB1A8E">
        <w:t>FISMA report</w:t>
      </w:r>
      <w:r w:rsidR="00D87649">
        <w:t>s</w:t>
      </w:r>
      <w:r w:rsidR="00FB1A8E">
        <w:t xml:space="preserve"> and </w:t>
      </w:r>
      <w:r w:rsidR="00D87649">
        <w:t xml:space="preserve">OMB’s </w:t>
      </w:r>
      <w:r w:rsidR="00FB1A8E">
        <w:t xml:space="preserve">quarterly </w:t>
      </w:r>
      <w:r w:rsidR="008532C2">
        <w:t>cyber</w:t>
      </w:r>
      <w:r w:rsidR="00A942D9">
        <w:t>security</w:t>
      </w:r>
      <w:r w:rsidR="008532C2">
        <w:t xml:space="preserve"> </w:t>
      </w:r>
      <w:r w:rsidR="00FB1A8E">
        <w:t>CAP goals</w:t>
      </w:r>
      <w:r w:rsidRPr="00FB1A8E">
        <w:t>.</w:t>
      </w:r>
      <w:r w:rsidRPr="000B4119">
        <w:t xml:space="preserve"> </w:t>
      </w:r>
      <w:r w:rsidR="00D87649">
        <w:t>Additionally, four agencies provided details of their 2018 IG’s assessments (DOC, Ed., HHS, and State).</w:t>
      </w:r>
    </w:p>
    <w:p w:rsidR="00713C11" w:rsidRPr="000B4119" w:rsidRDefault="00713C11" w:rsidP="002C72C1">
      <w:pPr>
        <w:pStyle w:val="BodyText"/>
        <w:spacing w:line="240" w:lineRule="auto"/>
      </w:pPr>
      <w:r w:rsidRPr="000B4119">
        <w:rPr>
          <w:rStyle w:val="Heading3Char"/>
          <w:rFonts w:asciiTheme="minorHAnsi" w:hAnsiTheme="minorHAnsi"/>
        </w:rPr>
        <w:t>Highest-rated agencies</w:t>
      </w:r>
      <w:r w:rsidRPr="000B4119">
        <w:t xml:space="preserve">: </w:t>
      </w:r>
      <w:r w:rsidR="00D87649">
        <w:t>Three</w:t>
      </w:r>
      <w:r w:rsidRPr="00FB1A8E">
        <w:t xml:space="preserve"> agencies</w:t>
      </w:r>
      <w:r w:rsidR="00FB1A8E" w:rsidRPr="00FB1A8E">
        <w:t xml:space="preserve"> </w:t>
      </w:r>
      <w:r w:rsidRPr="00FB1A8E">
        <w:t>r</w:t>
      </w:r>
      <w:r w:rsidRPr="000B4119">
        <w:t>eceived</w:t>
      </w:r>
      <w:r w:rsidR="00FB1A8E">
        <w:t xml:space="preserve"> a</w:t>
      </w:r>
      <w:r w:rsidRPr="000B4119">
        <w:t xml:space="preserve"> </w:t>
      </w:r>
      <w:r w:rsidR="00D87649">
        <w:t>B</w:t>
      </w:r>
      <w:r w:rsidR="00FB1A8E">
        <w:t>.</w:t>
      </w:r>
      <w:r w:rsidRPr="000B4119">
        <w:t xml:space="preserve"> </w:t>
      </w:r>
    </w:p>
    <w:p w:rsidR="00713C11" w:rsidRPr="004C466C" w:rsidRDefault="00713C11" w:rsidP="002C72C1">
      <w:pPr>
        <w:pStyle w:val="BodyText"/>
        <w:spacing w:line="240" w:lineRule="auto"/>
      </w:pPr>
      <w:r w:rsidRPr="000B4119">
        <w:rPr>
          <w:rStyle w:val="Heading3Char"/>
          <w:rFonts w:asciiTheme="minorHAnsi" w:hAnsiTheme="minorHAnsi"/>
        </w:rPr>
        <w:t>Lowest-rated agencies</w:t>
      </w:r>
      <w:r w:rsidRPr="000B4119">
        <w:t xml:space="preserve">: </w:t>
      </w:r>
      <w:r w:rsidR="00D87649">
        <w:t>Four</w:t>
      </w:r>
      <w:r w:rsidR="007D5096">
        <w:t xml:space="preserve"> </w:t>
      </w:r>
      <w:r w:rsidRPr="00FB1A8E">
        <w:t xml:space="preserve">agencies </w:t>
      </w:r>
      <w:r w:rsidR="00FB1A8E" w:rsidRPr="00FB1A8E">
        <w:t>received F grades.</w:t>
      </w:r>
    </w:p>
    <w:p w:rsidR="00713C11" w:rsidRPr="00FB1A8E" w:rsidRDefault="00713C11" w:rsidP="002C72C1">
      <w:pPr>
        <w:spacing w:line="240" w:lineRule="auto"/>
      </w:pPr>
      <w:r w:rsidRPr="004C466C">
        <w:rPr>
          <w:rStyle w:val="Heading3Char"/>
          <w:rFonts w:asciiTheme="minorHAnsi" w:hAnsiTheme="minorHAnsi"/>
        </w:rPr>
        <w:t>GAO reports:</w:t>
      </w:r>
      <w:r w:rsidRPr="004C466C">
        <w:t xml:space="preserve"> </w:t>
      </w:r>
      <w:r w:rsidR="00FB1A8E">
        <w:t xml:space="preserve">GAO </w:t>
      </w:r>
      <w:r w:rsidR="00FB1A8E" w:rsidRPr="0096216D">
        <w:t>first identified federal IT security as a government-wide high-risk area in 1997</w:t>
      </w:r>
      <w:r w:rsidR="007636D6">
        <w:t xml:space="preserve"> (</w:t>
      </w:r>
      <w:hyperlink r:id="rId19" w:history="1">
        <w:r w:rsidR="007636D6" w:rsidRPr="007636D6">
          <w:rPr>
            <w:rStyle w:val="Hyperlink"/>
          </w:rPr>
          <w:t>GAO-HR-97-9</w:t>
        </w:r>
      </w:hyperlink>
      <w:r w:rsidR="007636D6">
        <w:t>)</w:t>
      </w:r>
      <w:r w:rsidR="00FB1A8E" w:rsidRPr="0096216D">
        <w:t xml:space="preserve">. </w:t>
      </w:r>
      <w:r w:rsidR="007636D6">
        <w:t xml:space="preserve">Subsequently, </w:t>
      </w:r>
      <w:r w:rsidR="00FB1A8E">
        <w:t xml:space="preserve">GAO has </w:t>
      </w:r>
      <w:r w:rsidR="007636D6">
        <w:t>updated and expanded the area (</w:t>
      </w:r>
      <w:r w:rsidR="0028103F">
        <w:t xml:space="preserve">e.g. </w:t>
      </w:r>
      <w:hyperlink r:id="rId20" w:history="1">
        <w:r w:rsidR="007636D6" w:rsidRPr="007636D6">
          <w:rPr>
            <w:rStyle w:val="Hyperlink"/>
          </w:rPr>
          <w:t>GAO-HR-97-1</w:t>
        </w:r>
      </w:hyperlink>
      <w:r w:rsidR="007636D6" w:rsidRPr="007636D6">
        <w:rPr>
          <w:i/>
          <w:iCs/>
        </w:rPr>
        <w:t xml:space="preserve">, </w:t>
      </w:r>
      <w:hyperlink r:id="rId21" w:history="1">
        <w:r w:rsidR="007636D6" w:rsidRPr="007636D6">
          <w:rPr>
            <w:rStyle w:val="Hyperlink"/>
          </w:rPr>
          <w:t>GAO-03-119</w:t>
        </w:r>
      </w:hyperlink>
      <w:r w:rsidR="007636D6">
        <w:t>,</w:t>
      </w:r>
      <w:r w:rsidR="007636D6" w:rsidRPr="007636D6">
        <w:t xml:space="preserve"> </w:t>
      </w:r>
      <w:r w:rsidR="00A942D9">
        <w:t xml:space="preserve">and </w:t>
      </w:r>
      <w:hyperlink r:id="rId22" w:history="1">
        <w:r w:rsidR="007636D6" w:rsidRPr="007636D6">
          <w:rPr>
            <w:rStyle w:val="Hyperlink"/>
          </w:rPr>
          <w:t>GAO-15-290</w:t>
        </w:r>
      </w:hyperlink>
      <w:r w:rsidR="007636D6" w:rsidRPr="007636D6">
        <w:t>)</w:t>
      </w:r>
      <w:r w:rsidR="00FB1A8E">
        <w:t xml:space="preserve"> and </w:t>
      </w:r>
      <w:r w:rsidR="00FB1A8E" w:rsidRPr="0096216D">
        <w:t>continue</w:t>
      </w:r>
      <w:r w:rsidR="00787073">
        <w:t>d</w:t>
      </w:r>
      <w:r w:rsidR="00FB1A8E" w:rsidRPr="0096216D">
        <w:t xml:space="preserve"> to identify </w:t>
      </w:r>
      <w:r w:rsidR="0028103F">
        <w:t xml:space="preserve">it </w:t>
      </w:r>
      <w:r w:rsidR="00FB1A8E" w:rsidRPr="0096216D">
        <w:t xml:space="preserve">as a high-risk area in </w:t>
      </w:r>
      <w:r w:rsidR="00FB1A8E">
        <w:t>its</w:t>
      </w:r>
      <w:r w:rsidR="00FB1A8E" w:rsidRPr="0096216D">
        <w:t xml:space="preserve"> February 2017 update </w:t>
      </w:r>
      <w:r w:rsidR="00A942D9">
        <w:t>(</w:t>
      </w:r>
      <w:hyperlink r:id="rId23" w:history="1">
        <w:r w:rsidR="00A942D9">
          <w:rPr>
            <w:rStyle w:val="Hyperlink"/>
          </w:rPr>
          <w:t>GAO-17-317</w:t>
        </w:r>
      </w:hyperlink>
      <w:r w:rsidR="00A942D9">
        <w:t>).</w:t>
      </w:r>
      <w:r w:rsidR="00787073">
        <w:t xml:space="preserve"> </w:t>
      </w:r>
      <w:r>
        <w:br w:type="page"/>
      </w:r>
    </w:p>
    <w:p w:rsidR="00BD7141" w:rsidRPr="008B2287" w:rsidRDefault="00BD7141" w:rsidP="002C72C1">
      <w:pPr>
        <w:pStyle w:val="Heading2"/>
        <w:pBdr>
          <w:bottom w:val="single" w:sz="4" w:space="1" w:color="auto"/>
        </w:pBdr>
        <w:spacing w:line="240" w:lineRule="auto"/>
        <w:rPr>
          <w:rFonts w:asciiTheme="minorHAnsi" w:hAnsiTheme="minorHAnsi"/>
        </w:rPr>
      </w:pPr>
      <w:r>
        <w:rPr>
          <w:rFonts w:asciiTheme="minorHAnsi" w:hAnsiTheme="minorHAnsi"/>
        </w:rPr>
        <w:lastRenderedPageBreak/>
        <w:t xml:space="preserve">CIO </w:t>
      </w:r>
      <w:r w:rsidR="00E85C67">
        <w:rPr>
          <w:rFonts w:asciiTheme="minorHAnsi" w:hAnsiTheme="minorHAnsi"/>
        </w:rPr>
        <w:t>Authority (CIO r</w:t>
      </w:r>
      <w:r>
        <w:rPr>
          <w:rFonts w:asciiTheme="minorHAnsi" w:hAnsiTheme="minorHAnsi"/>
        </w:rPr>
        <w:t xml:space="preserve">eporting </w:t>
      </w:r>
      <w:r w:rsidR="00E85C67">
        <w:rPr>
          <w:rFonts w:asciiTheme="minorHAnsi" w:hAnsiTheme="minorHAnsi"/>
        </w:rPr>
        <w:t>s</w:t>
      </w:r>
      <w:r>
        <w:rPr>
          <w:rFonts w:asciiTheme="minorHAnsi" w:hAnsiTheme="minorHAnsi"/>
        </w:rPr>
        <w:t>tructure</w:t>
      </w:r>
      <w:r w:rsidR="00E85C67">
        <w:rPr>
          <w:rFonts w:asciiTheme="minorHAnsi" w:hAnsiTheme="minorHAnsi"/>
        </w:rPr>
        <w:t xml:space="preserve">) </w:t>
      </w:r>
    </w:p>
    <w:p w:rsidR="00BD7141" w:rsidRPr="008B2287" w:rsidRDefault="00BD7141" w:rsidP="002C72C1">
      <w:pPr>
        <w:pStyle w:val="BodyText"/>
        <w:spacing w:line="240" w:lineRule="auto"/>
      </w:pPr>
      <w:r>
        <w:t xml:space="preserve">Among other things, FITARA set out to ensure that federal Chief Information Officers (CIO) had a significant role in agencies’ IT decisions. </w:t>
      </w:r>
    </w:p>
    <w:tbl>
      <w:tblPr>
        <w:tblpPr w:leftFromText="144" w:rightFromText="144" w:vertAnchor="text" w:horzAnchor="margin" w:tblpXSpec="right" w:tblpY="1047"/>
        <w:tblOverlap w:val="never"/>
        <w:tblW w:w="8077" w:type="dxa"/>
        <w:tblBorders>
          <w:insideH w:val="single" w:sz="8" w:space="0" w:color="auto"/>
        </w:tblBorders>
        <w:tblLayout w:type="fixed"/>
        <w:tblLook w:val="04A0" w:firstRow="1" w:lastRow="0" w:firstColumn="1" w:lastColumn="0" w:noHBand="0" w:noVBand="1"/>
      </w:tblPr>
      <w:tblGrid>
        <w:gridCol w:w="828"/>
        <w:gridCol w:w="1134"/>
        <w:gridCol w:w="1402"/>
        <w:gridCol w:w="677"/>
        <w:gridCol w:w="677"/>
        <w:gridCol w:w="677"/>
        <w:gridCol w:w="677"/>
        <w:gridCol w:w="677"/>
        <w:gridCol w:w="698"/>
        <w:gridCol w:w="630"/>
      </w:tblGrid>
      <w:tr w:rsidR="00390248" w:rsidRPr="008B2287" w:rsidTr="00390248">
        <w:trPr>
          <w:trHeight w:val="173"/>
        </w:trPr>
        <w:tc>
          <w:tcPr>
            <w:tcW w:w="828" w:type="dxa"/>
            <w:tcBorders>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b/>
                <w:bCs/>
                <w:color w:val="000000"/>
                <w:sz w:val="20"/>
                <w:szCs w:val="20"/>
              </w:rPr>
            </w:pPr>
            <w:r w:rsidRPr="008B2287">
              <w:rPr>
                <w:rFonts w:ascii="Calibri" w:eastAsia="Times New Roman" w:hAnsi="Calibri" w:cs="Times New Roman"/>
                <w:b/>
                <w:bCs/>
                <w:color w:val="000000"/>
                <w:sz w:val="20"/>
                <w:szCs w:val="20"/>
              </w:rPr>
              <w:t>Agency</w:t>
            </w:r>
          </w:p>
        </w:tc>
        <w:tc>
          <w:tcPr>
            <w:tcW w:w="1134" w:type="dxa"/>
            <w:tcBorders>
              <w:bottom w:val="single" w:sz="8" w:space="0" w:color="auto"/>
            </w:tcBorders>
            <w:vAlign w:val="bottom"/>
          </w:tcPr>
          <w:p w:rsidR="00390248" w:rsidRDefault="00390248" w:rsidP="002C72C1">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CIO status</w:t>
            </w:r>
          </w:p>
        </w:tc>
        <w:tc>
          <w:tcPr>
            <w:tcW w:w="1402" w:type="dxa"/>
            <w:tcBorders>
              <w:bottom w:val="single" w:sz="8" w:space="0" w:color="auto"/>
            </w:tcBorders>
            <w:vAlign w:val="bottom"/>
          </w:tcPr>
          <w:p w:rsidR="00390248" w:rsidRPr="008B2287" w:rsidRDefault="00390248" w:rsidP="002C72C1">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CIO reports to agency head</w:t>
            </w:r>
          </w:p>
        </w:tc>
        <w:tc>
          <w:tcPr>
            <w:tcW w:w="677" w:type="dxa"/>
            <w:tcBorders>
              <w:bottom w:val="single" w:sz="8" w:space="0" w:color="auto"/>
            </w:tcBorders>
          </w:tcPr>
          <w:p w:rsidR="00390248" w:rsidRPr="00BF0EAD" w:rsidRDefault="00390248" w:rsidP="002C72C1">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Dec 2018</w:t>
            </w:r>
          </w:p>
        </w:tc>
        <w:tc>
          <w:tcPr>
            <w:tcW w:w="677" w:type="dxa"/>
            <w:tcBorders>
              <w:bottom w:val="single" w:sz="8" w:space="0" w:color="auto"/>
            </w:tcBorders>
            <w:shd w:val="clear" w:color="auto" w:fill="auto"/>
            <w:vAlign w:val="bottom"/>
          </w:tcPr>
          <w:p w:rsidR="00390248" w:rsidRPr="00BF0EAD" w:rsidRDefault="00390248" w:rsidP="002C72C1">
            <w:pPr>
              <w:spacing w:after="0" w:line="240" w:lineRule="auto"/>
              <w:jc w:val="center"/>
              <w:rPr>
                <w:rFonts w:ascii="Calibri" w:eastAsia="Times New Roman" w:hAnsi="Calibri" w:cs="Times New Roman"/>
                <w:b/>
                <w:bCs/>
                <w:sz w:val="20"/>
                <w:szCs w:val="20"/>
              </w:rPr>
            </w:pPr>
            <w:r w:rsidRPr="00BF0EAD">
              <w:rPr>
                <w:rFonts w:ascii="Calibri" w:eastAsia="Times New Roman" w:hAnsi="Calibri" w:cs="Times New Roman"/>
                <w:b/>
                <w:bCs/>
                <w:sz w:val="20"/>
                <w:szCs w:val="20"/>
              </w:rPr>
              <w:t>May 2018</w:t>
            </w:r>
          </w:p>
        </w:tc>
        <w:tc>
          <w:tcPr>
            <w:tcW w:w="677" w:type="dxa"/>
            <w:tcBorders>
              <w:bottom w:val="single" w:sz="8" w:space="0" w:color="auto"/>
            </w:tcBorders>
            <w:shd w:val="clear" w:color="auto" w:fill="auto"/>
            <w:vAlign w:val="bottom"/>
          </w:tcPr>
          <w:p w:rsidR="00390248" w:rsidRPr="00BF0EAD" w:rsidRDefault="00390248" w:rsidP="002C72C1">
            <w:pPr>
              <w:spacing w:after="0" w:line="240" w:lineRule="auto"/>
              <w:jc w:val="center"/>
              <w:rPr>
                <w:rFonts w:ascii="Calibri" w:eastAsia="Times New Roman" w:hAnsi="Calibri" w:cs="Times New Roman"/>
                <w:b/>
                <w:bCs/>
                <w:sz w:val="20"/>
                <w:szCs w:val="20"/>
              </w:rPr>
            </w:pPr>
            <w:r w:rsidRPr="00BF0EAD">
              <w:rPr>
                <w:rFonts w:ascii="Calibri" w:eastAsia="Times New Roman" w:hAnsi="Calibri" w:cs="Times New Roman"/>
                <w:b/>
                <w:bCs/>
                <w:sz w:val="20"/>
                <w:szCs w:val="20"/>
              </w:rPr>
              <w:t>Nov. 2017</w:t>
            </w:r>
          </w:p>
        </w:tc>
        <w:tc>
          <w:tcPr>
            <w:tcW w:w="677" w:type="dxa"/>
            <w:tcBorders>
              <w:bottom w:val="single" w:sz="8" w:space="0" w:color="auto"/>
            </w:tcBorders>
            <w:shd w:val="clear" w:color="auto" w:fill="auto"/>
            <w:vAlign w:val="bottom"/>
          </w:tcPr>
          <w:p w:rsidR="00390248" w:rsidRPr="00BF0EAD" w:rsidRDefault="00390248" w:rsidP="002C72C1">
            <w:pPr>
              <w:spacing w:after="0" w:line="240" w:lineRule="auto"/>
              <w:jc w:val="center"/>
              <w:rPr>
                <w:rFonts w:ascii="Calibri" w:eastAsia="Times New Roman" w:hAnsi="Calibri" w:cs="Times New Roman"/>
                <w:b/>
                <w:bCs/>
                <w:sz w:val="20"/>
                <w:szCs w:val="20"/>
              </w:rPr>
            </w:pPr>
            <w:r w:rsidRPr="00BF0EAD">
              <w:rPr>
                <w:rFonts w:ascii="Calibri" w:eastAsia="Times New Roman" w:hAnsi="Calibri" w:cs="Times New Roman"/>
                <w:b/>
                <w:bCs/>
                <w:sz w:val="20"/>
                <w:szCs w:val="20"/>
              </w:rPr>
              <w:t>June 2017</w:t>
            </w:r>
          </w:p>
        </w:tc>
        <w:tc>
          <w:tcPr>
            <w:tcW w:w="677" w:type="dxa"/>
            <w:tcBorders>
              <w:bottom w:val="single" w:sz="8" w:space="0" w:color="auto"/>
            </w:tcBorders>
            <w:shd w:val="clear" w:color="auto" w:fill="auto"/>
            <w:vAlign w:val="bottom"/>
          </w:tcPr>
          <w:p w:rsidR="00390248" w:rsidRPr="00BF0EAD" w:rsidRDefault="00390248" w:rsidP="002C72C1">
            <w:pPr>
              <w:spacing w:after="0" w:line="240" w:lineRule="auto"/>
              <w:jc w:val="center"/>
              <w:rPr>
                <w:rFonts w:ascii="Calibri" w:eastAsia="Times New Roman" w:hAnsi="Calibri" w:cs="Times New Roman"/>
                <w:b/>
                <w:bCs/>
                <w:sz w:val="20"/>
                <w:szCs w:val="20"/>
              </w:rPr>
            </w:pPr>
            <w:r w:rsidRPr="00BF0EAD">
              <w:rPr>
                <w:rFonts w:ascii="Calibri" w:eastAsia="Times New Roman" w:hAnsi="Calibri" w:cs="Times New Roman"/>
                <w:b/>
                <w:bCs/>
                <w:sz w:val="20"/>
                <w:szCs w:val="20"/>
              </w:rPr>
              <w:t>Dec. 2016</w:t>
            </w:r>
          </w:p>
        </w:tc>
        <w:tc>
          <w:tcPr>
            <w:tcW w:w="698" w:type="dxa"/>
            <w:tcBorders>
              <w:bottom w:val="single" w:sz="8" w:space="0" w:color="auto"/>
            </w:tcBorders>
            <w:shd w:val="clear" w:color="auto" w:fill="auto"/>
            <w:vAlign w:val="bottom"/>
            <w:hideMark/>
          </w:tcPr>
          <w:p w:rsidR="00390248" w:rsidRPr="00BF0EAD" w:rsidRDefault="00390248" w:rsidP="002C72C1">
            <w:pPr>
              <w:spacing w:after="0" w:line="240" w:lineRule="auto"/>
              <w:jc w:val="center"/>
              <w:rPr>
                <w:rFonts w:ascii="Calibri" w:eastAsia="Times New Roman" w:hAnsi="Calibri" w:cs="Times New Roman"/>
                <w:b/>
                <w:bCs/>
                <w:sz w:val="20"/>
                <w:szCs w:val="20"/>
              </w:rPr>
            </w:pPr>
            <w:r w:rsidRPr="00BF0EAD">
              <w:rPr>
                <w:rFonts w:ascii="Calibri" w:eastAsia="Times New Roman" w:hAnsi="Calibri" w:cs="Times New Roman"/>
                <w:b/>
                <w:bCs/>
                <w:sz w:val="20"/>
                <w:szCs w:val="20"/>
              </w:rPr>
              <w:t>May 2016</w:t>
            </w:r>
          </w:p>
        </w:tc>
        <w:tc>
          <w:tcPr>
            <w:tcW w:w="630" w:type="dxa"/>
            <w:tcBorders>
              <w:bottom w:val="single" w:sz="8" w:space="0" w:color="auto"/>
            </w:tcBorders>
            <w:shd w:val="clear" w:color="auto" w:fill="auto"/>
            <w:vAlign w:val="bottom"/>
            <w:hideMark/>
          </w:tcPr>
          <w:p w:rsidR="00390248" w:rsidRPr="00F94147" w:rsidRDefault="00390248" w:rsidP="002C72C1">
            <w:pPr>
              <w:spacing w:after="0" w:line="240" w:lineRule="auto"/>
              <w:jc w:val="center"/>
              <w:rPr>
                <w:rFonts w:ascii="Calibri" w:eastAsia="Times New Roman" w:hAnsi="Calibri" w:cs="Times New Roman"/>
                <w:b/>
                <w:bCs/>
                <w:sz w:val="20"/>
                <w:szCs w:val="20"/>
              </w:rPr>
            </w:pPr>
            <w:r w:rsidRPr="00F94147">
              <w:rPr>
                <w:rFonts w:ascii="Calibri" w:eastAsia="Times New Roman" w:hAnsi="Calibri" w:cs="Times New Roman"/>
                <w:b/>
                <w:bCs/>
                <w:sz w:val="20"/>
                <w:szCs w:val="20"/>
              </w:rPr>
              <w:t>Nov. 2015</w:t>
            </w:r>
          </w:p>
        </w:tc>
      </w:tr>
      <w:tr w:rsidR="00390248" w:rsidRPr="008B2287" w:rsidTr="00390248">
        <w:trPr>
          <w:trHeight w:val="54"/>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USDA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val="restart"/>
            <w:tcBorders>
              <w:top w:val="single" w:sz="8" w:space="0" w:color="auto"/>
              <w:bottom w:val="single" w:sz="8" w:space="0" w:color="auto"/>
            </w:tcBorders>
            <w:shd w:val="clear" w:color="auto" w:fill="BFBFBF" w:themeFill="background1" w:themeFillShade="BF"/>
            <w:noWrap/>
            <w:vAlign w:val="center"/>
          </w:tcPr>
          <w:p w:rsidR="00390248" w:rsidRPr="00BF0EAD" w:rsidRDefault="00390248" w:rsidP="002C72C1">
            <w:pPr>
              <w:spacing w:after="0" w:line="240" w:lineRule="auto"/>
              <w:jc w:val="center"/>
              <w:rPr>
                <w:rFonts w:ascii="Calibri" w:eastAsia="Times New Roman" w:hAnsi="Calibri" w:cs="Times New Roman"/>
                <w:sz w:val="20"/>
                <w:szCs w:val="20"/>
              </w:rPr>
            </w:pPr>
            <w:r w:rsidRPr="00BF0EAD">
              <w:rPr>
                <w:rFonts w:ascii="Calibri" w:eastAsia="Times New Roman" w:hAnsi="Calibri" w:cs="Times New Roman"/>
                <w:sz w:val="20"/>
                <w:szCs w:val="20"/>
              </w:rPr>
              <w:t>Not previously graded</w:t>
            </w: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DOC</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DOD</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Ed.</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Energy</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HHS</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390248">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w:t>
            </w:r>
            <w:r>
              <w:rPr>
                <w:rFonts w:ascii="Calibri" w:eastAsia="Times New Roman" w:hAnsi="Calibri" w:cs="Times New Roman"/>
                <w:color w:val="000000"/>
                <w:sz w:val="20"/>
                <w:szCs w:val="20"/>
              </w:rPr>
              <w:t>H</w:t>
            </w:r>
            <w:r w:rsidRPr="008B2287">
              <w:rPr>
                <w:rFonts w:ascii="Calibri" w:eastAsia="Times New Roman" w:hAnsi="Calibri" w:cs="Times New Roman"/>
                <w:color w:val="000000"/>
                <w:sz w:val="20"/>
                <w:szCs w:val="20"/>
              </w:rPr>
              <w:t>S</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HUD</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DOI</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DOJ</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DOL</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State</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DOT</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Treas.</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VA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EPA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Acting</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28"/>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GSA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NASA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NSF</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NRC</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OPM</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SBA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8"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SSA</w:t>
            </w:r>
          </w:p>
        </w:tc>
        <w:tc>
          <w:tcPr>
            <w:tcW w:w="1134" w:type="dxa"/>
            <w:tcBorders>
              <w:top w:val="single" w:sz="8" w:space="0" w:color="auto"/>
              <w:bottom w:val="single" w:sz="8"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8" w:space="0" w:color="auto"/>
            </w:tcBorders>
            <w:vAlign w:val="bottom"/>
          </w:tcPr>
          <w:p w:rsidR="00390248" w:rsidRPr="00D05B33" w:rsidRDefault="00390248" w:rsidP="002C72C1">
            <w:pPr>
              <w:spacing w:after="0" w:line="240" w:lineRule="auto"/>
              <w:jc w:val="center"/>
              <w:rPr>
                <w:sz w:val="20"/>
                <w:szCs w:val="20"/>
              </w:rPr>
            </w:pPr>
            <w:r w:rsidRPr="00D05B33">
              <w:rPr>
                <w:sz w:val="20"/>
                <w:szCs w:val="20"/>
              </w:rPr>
              <w:t>Yes</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8" w:space="0" w:color="auto"/>
            </w:tcBorders>
            <w:shd w:val="clear" w:color="auto" w:fill="92D05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8" w:space="0" w:color="auto"/>
            </w:tcBorders>
            <w:shd w:val="clear" w:color="auto" w:fill="BFBFBF" w:themeFill="background1" w:themeFillShade="BF"/>
            <w:noWrap/>
            <w:vAlign w:val="bottom"/>
            <w:hideMark/>
          </w:tcPr>
          <w:p w:rsidR="00390248" w:rsidRPr="00BF0EAD" w:rsidRDefault="00390248" w:rsidP="002C72C1">
            <w:pPr>
              <w:spacing w:after="0" w:line="240" w:lineRule="auto"/>
              <w:jc w:val="center"/>
              <w:rPr>
                <w:rFonts w:ascii="Calibri" w:eastAsia="Times New Roman" w:hAnsi="Calibri" w:cs="Times New Roman"/>
                <w:sz w:val="20"/>
                <w:szCs w:val="20"/>
              </w:rPr>
            </w:pPr>
          </w:p>
        </w:tc>
      </w:tr>
      <w:tr w:rsidR="00390248" w:rsidRPr="008B2287" w:rsidTr="00390248">
        <w:trPr>
          <w:trHeight w:val="173"/>
        </w:trPr>
        <w:tc>
          <w:tcPr>
            <w:tcW w:w="828" w:type="dxa"/>
            <w:tcBorders>
              <w:top w:val="single" w:sz="8" w:space="0" w:color="auto"/>
              <w:bottom w:val="single" w:sz="4" w:space="0" w:color="auto"/>
            </w:tcBorders>
            <w:shd w:val="clear" w:color="auto" w:fill="auto"/>
            <w:noWrap/>
            <w:vAlign w:val="bottom"/>
            <w:hideMark/>
          </w:tcPr>
          <w:p w:rsidR="00390248" w:rsidRPr="008B2287" w:rsidRDefault="00390248" w:rsidP="002C72C1">
            <w:pPr>
              <w:spacing w:after="0" w:line="240" w:lineRule="auto"/>
              <w:rPr>
                <w:rFonts w:ascii="Calibri" w:eastAsia="Times New Roman" w:hAnsi="Calibri" w:cs="Times New Roman"/>
                <w:color w:val="000000"/>
                <w:sz w:val="20"/>
                <w:szCs w:val="20"/>
              </w:rPr>
            </w:pPr>
            <w:r w:rsidRPr="008B2287">
              <w:rPr>
                <w:rFonts w:ascii="Calibri" w:eastAsia="Times New Roman" w:hAnsi="Calibri" w:cs="Times New Roman"/>
                <w:color w:val="000000"/>
                <w:sz w:val="20"/>
                <w:szCs w:val="20"/>
              </w:rPr>
              <w:t>USAID</w:t>
            </w:r>
          </w:p>
        </w:tc>
        <w:tc>
          <w:tcPr>
            <w:tcW w:w="1134" w:type="dxa"/>
            <w:tcBorders>
              <w:top w:val="single" w:sz="8" w:space="0" w:color="auto"/>
              <w:bottom w:val="single" w:sz="4" w:space="0" w:color="auto"/>
            </w:tcBorders>
          </w:tcPr>
          <w:p w:rsidR="00390248" w:rsidRDefault="00390248" w:rsidP="002C72C1">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Permanent</w:t>
            </w:r>
          </w:p>
        </w:tc>
        <w:tc>
          <w:tcPr>
            <w:tcW w:w="1402" w:type="dxa"/>
            <w:tcBorders>
              <w:top w:val="single" w:sz="8" w:space="0" w:color="auto"/>
              <w:bottom w:val="single" w:sz="4" w:space="0" w:color="auto"/>
            </w:tcBorders>
            <w:vAlign w:val="bottom"/>
          </w:tcPr>
          <w:p w:rsidR="00390248" w:rsidRPr="00D05B33" w:rsidRDefault="00390248" w:rsidP="002C72C1">
            <w:pPr>
              <w:spacing w:after="0" w:line="240" w:lineRule="auto"/>
              <w:jc w:val="center"/>
              <w:rPr>
                <w:color w:val="FF0000"/>
                <w:sz w:val="20"/>
                <w:szCs w:val="20"/>
              </w:rPr>
            </w:pPr>
            <w:r w:rsidRPr="00D05B33">
              <w:rPr>
                <w:color w:val="FF0000"/>
                <w:sz w:val="20"/>
                <w:szCs w:val="20"/>
              </w:rPr>
              <w:t>No</w:t>
            </w:r>
          </w:p>
        </w:tc>
        <w:tc>
          <w:tcPr>
            <w:tcW w:w="677" w:type="dxa"/>
            <w:tcBorders>
              <w:top w:val="single" w:sz="8" w:space="0" w:color="auto"/>
              <w:bottom w:val="single" w:sz="4"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p>
        </w:tc>
        <w:tc>
          <w:tcPr>
            <w:tcW w:w="677" w:type="dxa"/>
            <w:tcBorders>
              <w:top w:val="single" w:sz="8" w:space="0" w:color="auto"/>
              <w:bottom w:val="single" w:sz="4"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4"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4"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677" w:type="dxa"/>
            <w:tcBorders>
              <w:top w:val="single" w:sz="8" w:space="0" w:color="auto"/>
              <w:bottom w:val="single" w:sz="4" w:space="0" w:color="auto"/>
            </w:tcBorders>
            <w:shd w:val="clear" w:color="auto" w:fill="C00000"/>
          </w:tcPr>
          <w:p w:rsidR="00390248" w:rsidRPr="00BF0EAD" w:rsidRDefault="00390248" w:rsidP="002C72C1">
            <w:pPr>
              <w:autoSpaceDE w:val="0"/>
              <w:autoSpaceDN w:val="0"/>
              <w:adjustRightInd w:val="0"/>
              <w:spacing w:after="0" w:line="240" w:lineRule="auto"/>
              <w:jc w:val="center"/>
              <w:rPr>
                <w:rFonts w:ascii="Calibri" w:hAnsi="Calibri" w:cs="Calibri"/>
                <w:sz w:val="20"/>
                <w:szCs w:val="20"/>
              </w:rPr>
            </w:pPr>
            <w:r w:rsidRPr="00BF0EAD">
              <w:rPr>
                <w:rFonts w:ascii="Calibri" w:hAnsi="Calibri" w:cs="Calibri"/>
                <w:sz w:val="20"/>
                <w:szCs w:val="20"/>
              </w:rPr>
              <w:t>-</w:t>
            </w:r>
          </w:p>
        </w:tc>
        <w:tc>
          <w:tcPr>
            <w:tcW w:w="1328" w:type="dxa"/>
            <w:gridSpan w:val="2"/>
            <w:vMerge/>
            <w:tcBorders>
              <w:top w:val="single" w:sz="8" w:space="0" w:color="auto"/>
              <w:bottom w:val="single" w:sz="4" w:space="0" w:color="auto"/>
            </w:tcBorders>
            <w:shd w:val="clear" w:color="auto" w:fill="BFBFBF" w:themeFill="background1" w:themeFillShade="BF"/>
            <w:noWrap/>
            <w:vAlign w:val="bottom"/>
          </w:tcPr>
          <w:p w:rsidR="00390248" w:rsidRPr="00BF0EAD" w:rsidRDefault="00390248" w:rsidP="002C72C1">
            <w:pPr>
              <w:spacing w:after="0" w:line="240" w:lineRule="auto"/>
              <w:jc w:val="center"/>
              <w:rPr>
                <w:rFonts w:ascii="Calibri" w:eastAsia="Times New Roman" w:hAnsi="Calibri" w:cs="Times New Roman"/>
                <w:sz w:val="20"/>
                <w:szCs w:val="20"/>
              </w:rPr>
            </w:pPr>
          </w:p>
        </w:tc>
      </w:tr>
    </w:tbl>
    <w:p w:rsidR="00BD7141" w:rsidRPr="008B2287" w:rsidRDefault="008C7694" w:rsidP="002C72C1">
      <w:pPr>
        <w:pStyle w:val="BodyText"/>
        <w:spacing w:line="240" w:lineRule="auto"/>
      </w:pPr>
      <w:r w:rsidRPr="008B2287">
        <w:rPr>
          <w:rStyle w:val="Heading3Char"/>
          <w:rFonts w:asciiTheme="minorHAnsi" w:hAnsiTheme="minorHAnsi"/>
        </w:rPr>
        <w:t>Why it’s important</w:t>
      </w:r>
      <w:r w:rsidR="00BD7141" w:rsidRPr="008B2287">
        <w:t>:</w:t>
      </w:r>
      <w:r w:rsidR="00BD7141" w:rsidRPr="008B2287">
        <w:rPr>
          <w:b/>
        </w:rPr>
        <w:t xml:space="preserve"> </w:t>
      </w:r>
      <w:r w:rsidR="00A61AA5">
        <w:t>Of</w:t>
      </w:r>
      <w:r w:rsidR="00A61AA5" w:rsidRPr="00A61AA5">
        <w:t xml:space="preserve"> the</w:t>
      </w:r>
      <w:r w:rsidR="00A61AA5">
        <w:rPr>
          <w:b/>
        </w:rPr>
        <w:t xml:space="preserve"> </w:t>
      </w:r>
      <w:r w:rsidR="00A61AA5" w:rsidRPr="00A61AA5">
        <w:t>24</w:t>
      </w:r>
      <w:r w:rsidR="00A61AA5">
        <w:rPr>
          <w:b/>
        </w:rPr>
        <w:t xml:space="preserve"> </w:t>
      </w:r>
      <w:r w:rsidR="00A61AA5">
        <w:t xml:space="preserve">major agencies, </w:t>
      </w:r>
      <w:r w:rsidR="00AE4B2A">
        <w:t>15</w:t>
      </w:r>
      <w:r w:rsidR="00A61AA5">
        <w:t xml:space="preserve"> CIOs report </w:t>
      </w:r>
      <w:r w:rsidR="00AA2B13">
        <w:t>to the head of their agency</w:t>
      </w:r>
      <w:r w:rsidR="00A61AA5">
        <w:t xml:space="preserve"> (or the deputy)</w:t>
      </w:r>
      <w:r w:rsidR="00AE4B2A">
        <w:t>. CIOs that do not report to the head of the agency</w:t>
      </w:r>
      <w:r w:rsidR="00AA2B13">
        <w:t xml:space="preserve"> </w:t>
      </w:r>
      <w:proofErr w:type="gramStart"/>
      <w:r w:rsidR="00AA2B13">
        <w:t>weakens</w:t>
      </w:r>
      <w:proofErr w:type="gramEnd"/>
      <w:r w:rsidR="00AA2B13">
        <w:t xml:space="preserve"> their ability to effectively manage IT. Given the history of federal I</w:t>
      </w:r>
      <w:r w:rsidR="00A61AA5">
        <w:t>T fail</w:t>
      </w:r>
      <w:r w:rsidR="00B9056B">
        <w:t>ures, this is a concern.</w:t>
      </w:r>
    </w:p>
    <w:p w:rsidR="00BD7141" w:rsidRPr="008B2287" w:rsidRDefault="00BD7141" w:rsidP="002C72C1">
      <w:pPr>
        <w:pStyle w:val="BodyText"/>
        <w:spacing w:line="240" w:lineRule="auto"/>
      </w:pPr>
      <w:r w:rsidRPr="008B2287">
        <w:rPr>
          <w:rStyle w:val="Heading3Char"/>
          <w:rFonts w:asciiTheme="minorHAnsi" w:hAnsiTheme="minorHAnsi"/>
        </w:rPr>
        <w:t>Calculation</w:t>
      </w:r>
      <w:r w:rsidRPr="008B2287">
        <w:t xml:space="preserve">: </w:t>
      </w:r>
      <w:r w:rsidR="00AE4B2A">
        <w:t>T</w:t>
      </w:r>
      <w:r w:rsidR="00FB0546" w:rsidRPr="00FB0546">
        <w:t xml:space="preserve">hose agencies where the CIO reports to the Secretary or Deputy Secretary </w:t>
      </w:r>
      <w:r w:rsidR="00AE4B2A">
        <w:t>receive a “+”</w:t>
      </w:r>
      <w:r w:rsidR="00FB0546" w:rsidRPr="00FB0546">
        <w:t xml:space="preserve"> and those that do not </w:t>
      </w:r>
      <w:r w:rsidR="00AE4B2A">
        <w:t>receive a “</w:t>
      </w:r>
      <w:r w:rsidR="00FB0546" w:rsidRPr="00FB0546">
        <w:t>-.</w:t>
      </w:r>
      <w:r w:rsidR="00AE4B2A">
        <w:t xml:space="preserve">” </w:t>
      </w:r>
      <w:r w:rsidR="00E14996" w:rsidRPr="00693DD3">
        <w:t>The committee lower</w:t>
      </w:r>
      <w:r w:rsidR="003D2D9B" w:rsidRPr="00693DD3">
        <w:t>ed</w:t>
      </w:r>
      <w:r w:rsidR="00AE4B2A" w:rsidRPr="00693DD3">
        <w:t xml:space="preserve"> the overall grade of agencies</w:t>
      </w:r>
      <w:r w:rsidR="00E14996" w:rsidRPr="00693DD3">
        <w:t xml:space="preserve"> </w:t>
      </w:r>
      <w:r w:rsidR="003D2D9B" w:rsidRPr="00693DD3">
        <w:t xml:space="preserve">by </w:t>
      </w:r>
      <w:r w:rsidR="00E14996" w:rsidRPr="00693DD3">
        <w:t>one</w:t>
      </w:r>
      <w:r w:rsidR="00AE4B2A" w:rsidRPr="00693DD3">
        <w:t xml:space="preserve"> letter if they received a “-” in this area.</w:t>
      </w:r>
    </w:p>
    <w:p w:rsidR="00BD7141" w:rsidRPr="008B2287" w:rsidRDefault="00BD7141" w:rsidP="002C72C1">
      <w:pPr>
        <w:pStyle w:val="BodyText"/>
        <w:spacing w:line="240" w:lineRule="auto"/>
      </w:pPr>
      <w:r w:rsidRPr="008B2287">
        <w:rPr>
          <w:rStyle w:val="Heading3Char"/>
          <w:rFonts w:asciiTheme="minorHAnsi" w:hAnsiTheme="minorHAnsi"/>
        </w:rPr>
        <w:t>Data source (quarterly):</w:t>
      </w:r>
      <w:r w:rsidRPr="008B2287">
        <w:t xml:space="preserve"> </w:t>
      </w:r>
      <w:r>
        <w:t>Organization charts on agencies’ websit</w:t>
      </w:r>
      <w:r w:rsidR="00FB0546">
        <w:t>e</w:t>
      </w:r>
      <w:r w:rsidR="00645103">
        <w:t>s</w:t>
      </w:r>
      <w:r w:rsidR="00AE4B2A">
        <w:t xml:space="preserve"> as well as </w:t>
      </w:r>
      <w:hyperlink r:id="rId24" w:history="1">
        <w:r w:rsidR="00AE4B2A" w:rsidRPr="007B5D5F">
          <w:rPr>
            <w:rStyle w:val="Hyperlink"/>
          </w:rPr>
          <w:t>www.cio.gov</w:t>
        </w:r>
      </w:hyperlink>
      <w:r w:rsidRPr="008B2287">
        <w:t>.</w:t>
      </w:r>
    </w:p>
    <w:p w:rsidR="00BD7141" w:rsidRPr="008B2287" w:rsidRDefault="00AA2B13" w:rsidP="002C72C1">
      <w:pPr>
        <w:pStyle w:val="BodyText"/>
        <w:spacing w:line="240" w:lineRule="auto"/>
      </w:pPr>
      <w:r>
        <w:rPr>
          <w:rStyle w:val="Heading3Char"/>
          <w:rFonts w:asciiTheme="minorHAnsi" w:hAnsiTheme="minorHAnsi"/>
        </w:rPr>
        <w:t>Resulting grades</w:t>
      </w:r>
      <w:r w:rsidR="00BD7141" w:rsidRPr="008B2287">
        <w:t xml:space="preserve">: </w:t>
      </w:r>
      <w:r w:rsidR="00390248">
        <w:t>Sixteen</w:t>
      </w:r>
      <w:r w:rsidR="00FB0546" w:rsidRPr="00FB0546">
        <w:t xml:space="preserve"> agencies received “+” marks </w:t>
      </w:r>
      <w:r w:rsidR="00FB0546">
        <w:t xml:space="preserve">and </w:t>
      </w:r>
      <w:r w:rsidR="00AE4B2A">
        <w:t xml:space="preserve">nine </w:t>
      </w:r>
      <w:r w:rsidR="00FB0546">
        <w:t>agencies received “-</w:t>
      </w:r>
      <w:r w:rsidR="00FB0546" w:rsidRPr="00FB0546">
        <w:t>” marks, which are appended to their overall grades.</w:t>
      </w:r>
      <w:r w:rsidR="00713C11">
        <w:t xml:space="preserve"> </w:t>
      </w:r>
      <w:r w:rsidR="00390248">
        <w:t>Five</w:t>
      </w:r>
      <w:r w:rsidR="001F4FA6">
        <w:t xml:space="preserve"> agencies have changed their reporting structure since the committee began grading this area.</w:t>
      </w:r>
      <w:r w:rsidR="00713C11">
        <w:t xml:space="preserve"> </w:t>
      </w:r>
    </w:p>
    <w:p w:rsidR="00416C13" w:rsidRDefault="00BD7141" w:rsidP="002C72C1">
      <w:pPr>
        <w:pStyle w:val="BodyText"/>
        <w:spacing w:line="240" w:lineRule="auto"/>
      </w:pPr>
      <w:r w:rsidRPr="008B2287">
        <w:rPr>
          <w:rStyle w:val="Heading3Char"/>
          <w:rFonts w:asciiTheme="minorHAnsi" w:hAnsiTheme="minorHAnsi"/>
        </w:rPr>
        <w:t>GAO re</w:t>
      </w:r>
      <w:r w:rsidRPr="00713C11">
        <w:rPr>
          <w:rStyle w:val="Heading3Char"/>
          <w:rFonts w:asciiTheme="minorHAnsi" w:hAnsiTheme="minorHAnsi"/>
        </w:rPr>
        <w:t>ports:</w:t>
      </w:r>
      <w:r w:rsidRPr="00713C11">
        <w:t xml:space="preserve"> </w:t>
      </w:r>
      <w:r w:rsidR="00390248">
        <w:t xml:space="preserve">In August 2018, </w:t>
      </w:r>
      <w:r w:rsidRPr="00713C11">
        <w:t xml:space="preserve">GAO </w:t>
      </w:r>
      <w:r w:rsidR="00390248">
        <w:t>reported (</w:t>
      </w:r>
      <w:hyperlink r:id="rId25" w:history="1">
        <w:r w:rsidR="00390248">
          <w:rPr>
            <w:rStyle w:val="Hyperlink"/>
          </w:rPr>
          <w:t>GAO-18-93</w:t>
        </w:r>
      </w:hyperlink>
      <w:r w:rsidR="00390248">
        <w:t>) that the policies of the 24 agencies did not fully address the role of their CIOs consistent with laws and guidance. GAO attributed these shortcomings to weaknesses in OMB’s guidance, and made recommendations to OMB and each of the 24 agencies to improve the effectiveness of federal CIOs.</w:t>
      </w:r>
    </w:p>
    <w:sectPr w:rsidR="00416C13" w:rsidSect="00C62D77">
      <w:headerReference w:type="default" r:id="rId26"/>
      <w:footerReference w:type="default" r:id="rId27"/>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C1" w:rsidRDefault="002C72C1" w:rsidP="005B7142">
      <w:pPr>
        <w:spacing w:after="0" w:line="240" w:lineRule="auto"/>
      </w:pPr>
      <w:r>
        <w:separator/>
      </w:r>
    </w:p>
  </w:endnote>
  <w:endnote w:type="continuationSeparator" w:id="0">
    <w:p w:rsidR="002C72C1" w:rsidRDefault="002C72C1" w:rsidP="005B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10748"/>
      <w:docPartObj>
        <w:docPartGallery w:val="Page Numbers (Bottom of Page)"/>
        <w:docPartUnique/>
      </w:docPartObj>
    </w:sdtPr>
    <w:sdtEndPr>
      <w:rPr>
        <w:noProof/>
      </w:rPr>
    </w:sdtEndPr>
    <w:sdtContent>
      <w:p w:rsidR="002C72C1" w:rsidRDefault="002C72C1">
        <w:pPr>
          <w:pStyle w:val="Footer"/>
          <w:jc w:val="right"/>
        </w:pPr>
        <w:r>
          <w:fldChar w:fldCharType="begin"/>
        </w:r>
        <w:r>
          <w:instrText xml:space="preserve"> PAGE   \* MERGEFORMAT </w:instrText>
        </w:r>
        <w:r>
          <w:fldChar w:fldCharType="separate"/>
        </w:r>
        <w:r w:rsidR="00A5477D">
          <w:rPr>
            <w:noProof/>
          </w:rPr>
          <w:t>7</w:t>
        </w:r>
        <w:r>
          <w:rPr>
            <w:noProof/>
          </w:rPr>
          <w:fldChar w:fldCharType="end"/>
        </w:r>
      </w:p>
    </w:sdtContent>
  </w:sdt>
  <w:p w:rsidR="002C72C1" w:rsidRDefault="002C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C1" w:rsidRDefault="002C72C1" w:rsidP="005B7142">
      <w:pPr>
        <w:spacing w:after="0" w:line="240" w:lineRule="auto"/>
      </w:pPr>
      <w:r>
        <w:separator/>
      </w:r>
    </w:p>
  </w:footnote>
  <w:footnote w:type="continuationSeparator" w:id="0">
    <w:p w:rsidR="002C72C1" w:rsidRDefault="002C72C1" w:rsidP="005B7142">
      <w:pPr>
        <w:spacing w:after="0" w:line="240" w:lineRule="auto"/>
      </w:pPr>
      <w:r>
        <w:continuationSeparator/>
      </w:r>
    </w:p>
  </w:footnote>
  <w:footnote w:id="1">
    <w:p w:rsidR="002C72C1" w:rsidRPr="008B2287" w:rsidRDefault="002C72C1" w:rsidP="008969AB">
      <w:pPr>
        <w:pStyle w:val="FootnoteText"/>
      </w:pPr>
      <w:r w:rsidRPr="008B2287">
        <w:rPr>
          <w:rStyle w:val="FootnoteReference"/>
        </w:rPr>
        <w:footnoteRef/>
      </w:r>
      <w:r w:rsidRPr="008B2287">
        <w:t>Title VIII, Subtitle D of the National Defense Authorization Act for Fiscal Year 2015, Pub. L. No. 113-291.</w:t>
      </w:r>
    </w:p>
  </w:footnote>
  <w:footnote w:id="2">
    <w:p w:rsidR="002C72C1" w:rsidRDefault="002C72C1" w:rsidP="008969AB">
      <w:pPr>
        <w:pStyle w:val="FootnoteText"/>
      </w:pPr>
      <w:r>
        <w:rPr>
          <w:rStyle w:val="FootnoteReference"/>
        </w:rPr>
        <w:footnoteRef/>
      </w:r>
      <w:proofErr w:type="gramStart"/>
      <w:r w:rsidRPr="00B9056B">
        <w:t>Pub.</w:t>
      </w:r>
      <w:proofErr w:type="gramEnd"/>
      <w:r w:rsidRPr="00B9056B">
        <w:t xml:space="preserve"> </w:t>
      </w:r>
      <w:proofErr w:type="gramStart"/>
      <w:r w:rsidRPr="00B9056B">
        <w:t>L. No. 114-210 (July 29, 2016); 130 Stat. 824.</w:t>
      </w:r>
      <w:proofErr w:type="gramEnd"/>
      <w:r>
        <w:t xml:space="preserve"> </w:t>
      </w:r>
    </w:p>
  </w:footnote>
  <w:footnote w:id="3">
    <w:p w:rsidR="002C72C1" w:rsidRDefault="002C72C1" w:rsidP="00674172">
      <w:pPr>
        <w:pStyle w:val="FootnoteText"/>
      </w:pPr>
      <w:r>
        <w:rPr>
          <w:rStyle w:val="FootnoteReference"/>
        </w:rPr>
        <w:footnoteRef/>
      </w:r>
      <w:proofErr w:type="gramStart"/>
      <w:r>
        <w:t>Title X, Subtitle G of the National Defense Authorization Act for Fiscal Year 2018, Pub.</w:t>
      </w:r>
      <w:proofErr w:type="gramEnd"/>
      <w:r>
        <w:t xml:space="preserve"> </w:t>
      </w:r>
      <w:proofErr w:type="gramStart"/>
      <w:r>
        <w:t>L. No. 115-91.</w:t>
      </w:r>
      <w:proofErr w:type="gramEnd"/>
    </w:p>
  </w:footnote>
  <w:footnote w:id="4">
    <w:p w:rsidR="002C72C1" w:rsidRDefault="002C72C1" w:rsidP="00674172">
      <w:pPr>
        <w:pStyle w:val="FootnoteText"/>
      </w:pPr>
      <w:r>
        <w:rPr>
          <w:rStyle w:val="FootnoteReference"/>
        </w:rPr>
        <w:footnoteRef/>
      </w:r>
      <w:proofErr w:type="gramStart"/>
      <w:r w:rsidRPr="008C7694">
        <w:t>The Federal Information Security Modernization Act of 2014 (FISMA 2014) (Pub.</w:t>
      </w:r>
      <w:proofErr w:type="gramEnd"/>
      <w:r w:rsidRPr="008C7694">
        <w:t xml:space="preserve"> L. No. 113-283, Dec. 18, 2014) partially superseded the Federal Information Security Management Act of 2002 (FISMA 2002), enacted as Title III, E-Government Act of 2002, Pub. L. No. 107-347, 116 Stat. 2899, 2946 (Dec. 17, 2002).</w:t>
      </w:r>
    </w:p>
  </w:footnote>
  <w:footnote w:id="5">
    <w:p w:rsidR="002C72C1" w:rsidRPr="008B2287" w:rsidRDefault="002C72C1" w:rsidP="000859C7">
      <w:pPr>
        <w:pStyle w:val="FootnoteText"/>
      </w:pPr>
      <w:r w:rsidRPr="008B2287">
        <w:rPr>
          <w:rStyle w:val="FootnoteReference"/>
        </w:rPr>
        <w:footnoteRef/>
      </w:r>
      <w:r w:rsidRPr="008B2287">
        <w:t xml:space="preserve">“Major IT investment” means a system or an acquisition requiring special management attention because it has significant importance to the mission or function of the government; significant program or policy implications; high executive visibility; high development, operating, or maintenance costs; an unusual funding mechanism; or is defined as major by the agency’s capital planning and investment control process. </w:t>
      </w:r>
    </w:p>
  </w:footnote>
  <w:footnote w:id="6">
    <w:p w:rsidR="002C72C1" w:rsidRDefault="002C72C1">
      <w:pPr>
        <w:pStyle w:val="FootnoteText"/>
      </w:pPr>
      <w:r>
        <w:rPr>
          <w:rStyle w:val="FootnoteReference"/>
        </w:rPr>
        <w:footnoteRef/>
      </w:r>
      <w:proofErr w:type="gramStart"/>
      <w:r>
        <w:t>Pub.</w:t>
      </w:r>
      <w:proofErr w:type="gramEnd"/>
      <w:r>
        <w:t xml:space="preserve"> L. No. 114-210 (July 29, 2016): 130 Stat. 824.</w:t>
      </w:r>
    </w:p>
  </w:footnote>
  <w:footnote w:id="7">
    <w:p w:rsidR="002C72C1" w:rsidRDefault="002C72C1" w:rsidP="00A630CA">
      <w:pPr>
        <w:pStyle w:val="FootnoteText"/>
      </w:pPr>
      <w:r>
        <w:rPr>
          <w:rStyle w:val="FootnoteReference"/>
        </w:rPr>
        <w:footnoteRef/>
      </w:r>
      <w:proofErr w:type="gramStart"/>
      <w:r w:rsidRPr="008C7694">
        <w:t>The Federal Information Security Modernization Act of 2014 (FISMA 2014) (Pub.</w:t>
      </w:r>
      <w:proofErr w:type="gramEnd"/>
      <w:r w:rsidRPr="008C7694">
        <w:t xml:space="preserve"> L. No. 113-283, Dec. 18, 2014) partially superseded the Federal Information Security Management Act of 2002 (FISMA 2002), enacted as Title III, E-Government Act of 2002, Pub. L. No. 107-347, 116 Stat. 2899, 2946 (Dec. 17, 2002).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2C1" w:rsidRDefault="002C72C1" w:rsidP="00953BDD">
    <w:pPr>
      <w:pStyle w:val="Heading1"/>
      <w:spacing w:before="0" w:after="120"/>
    </w:pPr>
    <w:r>
      <w:t>OGR Biannual IT Scorecard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90011"/>
    <w:lvl w:ilvl="0">
      <w:start w:val="1"/>
      <w:numFmt w:val="decimal"/>
      <w:lvlText w:val="%1)"/>
      <w:lvlJc w:val="left"/>
      <w:pPr>
        <w:ind w:left="360" w:hanging="360"/>
      </w:pPr>
      <w:rPr>
        <w:rFonts w:hint="default"/>
      </w:rPr>
    </w:lvl>
  </w:abstractNum>
  <w:abstractNum w:abstractNumId="1">
    <w:nsid w:val="0A0F2346"/>
    <w:multiLevelType w:val="hybridMultilevel"/>
    <w:tmpl w:val="CE9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042D3"/>
    <w:multiLevelType w:val="hybridMultilevel"/>
    <w:tmpl w:val="B4F00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64FA7"/>
    <w:multiLevelType w:val="hybridMultilevel"/>
    <w:tmpl w:val="E6144F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65815F18"/>
    <w:multiLevelType w:val="hybridMultilevel"/>
    <w:tmpl w:val="DED4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200E4"/>
    <w:multiLevelType w:val="hybridMultilevel"/>
    <w:tmpl w:val="D82A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FE6772"/>
    <w:multiLevelType w:val="hybridMultilevel"/>
    <w:tmpl w:val="A71EC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3A7EF6"/>
    <w:multiLevelType w:val="hybridMultilevel"/>
    <w:tmpl w:val="AF04A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27CE0"/>
    <w:multiLevelType w:val="hybridMultilevel"/>
    <w:tmpl w:val="D628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6"/>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42"/>
    <w:rsid w:val="00024962"/>
    <w:rsid w:val="000327C7"/>
    <w:rsid w:val="00035C83"/>
    <w:rsid w:val="00036827"/>
    <w:rsid w:val="00036BD7"/>
    <w:rsid w:val="000859C7"/>
    <w:rsid w:val="00094F0A"/>
    <w:rsid w:val="000B4119"/>
    <w:rsid w:val="000B5007"/>
    <w:rsid w:val="000B7DE0"/>
    <w:rsid w:val="000D314B"/>
    <w:rsid w:val="000E50A5"/>
    <w:rsid w:val="00111BFD"/>
    <w:rsid w:val="00120F77"/>
    <w:rsid w:val="00147806"/>
    <w:rsid w:val="001549C7"/>
    <w:rsid w:val="00156132"/>
    <w:rsid w:val="001562B6"/>
    <w:rsid w:val="00161F0F"/>
    <w:rsid w:val="00161F84"/>
    <w:rsid w:val="00162E1B"/>
    <w:rsid w:val="001636B2"/>
    <w:rsid w:val="00175380"/>
    <w:rsid w:val="00183EFE"/>
    <w:rsid w:val="0019670C"/>
    <w:rsid w:val="001A333A"/>
    <w:rsid w:val="001A43BB"/>
    <w:rsid w:val="001A500A"/>
    <w:rsid w:val="001C6D41"/>
    <w:rsid w:val="001D45D7"/>
    <w:rsid w:val="001D779A"/>
    <w:rsid w:val="001E0137"/>
    <w:rsid w:val="001E4F72"/>
    <w:rsid w:val="001F0552"/>
    <w:rsid w:val="001F4FA6"/>
    <w:rsid w:val="00202E87"/>
    <w:rsid w:val="002079A4"/>
    <w:rsid w:val="00220DAB"/>
    <w:rsid w:val="00227D55"/>
    <w:rsid w:val="002332EA"/>
    <w:rsid w:val="00245AEE"/>
    <w:rsid w:val="00270AD0"/>
    <w:rsid w:val="00273097"/>
    <w:rsid w:val="0028103F"/>
    <w:rsid w:val="00283529"/>
    <w:rsid w:val="00292428"/>
    <w:rsid w:val="002941D4"/>
    <w:rsid w:val="002A22F8"/>
    <w:rsid w:val="002A4E43"/>
    <w:rsid w:val="002B74A4"/>
    <w:rsid w:val="002C3669"/>
    <w:rsid w:val="002C72C1"/>
    <w:rsid w:val="002D74C6"/>
    <w:rsid w:val="002E01C4"/>
    <w:rsid w:val="002E1ADD"/>
    <w:rsid w:val="002E23B7"/>
    <w:rsid w:val="002E6E8B"/>
    <w:rsid w:val="002E7F29"/>
    <w:rsid w:val="002F3FF0"/>
    <w:rsid w:val="00301CAD"/>
    <w:rsid w:val="00302BB2"/>
    <w:rsid w:val="00312AD0"/>
    <w:rsid w:val="003160E3"/>
    <w:rsid w:val="00316CAC"/>
    <w:rsid w:val="00320148"/>
    <w:rsid w:val="00325920"/>
    <w:rsid w:val="00333681"/>
    <w:rsid w:val="0033697F"/>
    <w:rsid w:val="00340F7F"/>
    <w:rsid w:val="00346821"/>
    <w:rsid w:val="00346F26"/>
    <w:rsid w:val="00363CDC"/>
    <w:rsid w:val="00377458"/>
    <w:rsid w:val="00390248"/>
    <w:rsid w:val="00390882"/>
    <w:rsid w:val="003B33FC"/>
    <w:rsid w:val="003B42DB"/>
    <w:rsid w:val="003B461F"/>
    <w:rsid w:val="003D2D9B"/>
    <w:rsid w:val="003D7CBF"/>
    <w:rsid w:val="003E379D"/>
    <w:rsid w:val="003E4FC2"/>
    <w:rsid w:val="003F2924"/>
    <w:rsid w:val="003F35E7"/>
    <w:rsid w:val="003F7B38"/>
    <w:rsid w:val="00407879"/>
    <w:rsid w:val="0041041B"/>
    <w:rsid w:val="004128BE"/>
    <w:rsid w:val="00413378"/>
    <w:rsid w:val="00416C13"/>
    <w:rsid w:val="0042136A"/>
    <w:rsid w:val="00432E91"/>
    <w:rsid w:val="00435AB5"/>
    <w:rsid w:val="0043601E"/>
    <w:rsid w:val="00440C4B"/>
    <w:rsid w:val="00462D4D"/>
    <w:rsid w:val="004653EB"/>
    <w:rsid w:val="00483C74"/>
    <w:rsid w:val="004A2B83"/>
    <w:rsid w:val="004B06AA"/>
    <w:rsid w:val="004B77B5"/>
    <w:rsid w:val="004C466C"/>
    <w:rsid w:val="004C78A0"/>
    <w:rsid w:val="004D1976"/>
    <w:rsid w:val="004D7B5A"/>
    <w:rsid w:val="004F1760"/>
    <w:rsid w:val="00510175"/>
    <w:rsid w:val="00533F48"/>
    <w:rsid w:val="005409C6"/>
    <w:rsid w:val="00541D3B"/>
    <w:rsid w:val="00542C58"/>
    <w:rsid w:val="00545100"/>
    <w:rsid w:val="00552258"/>
    <w:rsid w:val="00570D5D"/>
    <w:rsid w:val="00570FC6"/>
    <w:rsid w:val="005827D3"/>
    <w:rsid w:val="00591D52"/>
    <w:rsid w:val="005A4071"/>
    <w:rsid w:val="005B7142"/>
    <w:rsid w:val="005C2BDE"/>
    <w:rsid w:val="005C4065"/>
    <w:rsid w:val="005C6D40"/>
    <w:rsid w:val="005D0CC8"/>
    <w:rsid w:val="005D6445"/>
    <w:rsid w:val="005E7F48"/>
    <w:rsid w:val="00602C85"/>
    <w:rsid w:val="0060353F"/>
    <w:rsid w:val="00621CDC"/>
    <w:rsid w:val="006245E2"/>
    <w:rsid w:val="006345C7"/>
    <w:rsid w:val="00641F74"/>
    <w:rsid w:val="006446AA"/>
    <w:rsid w:val="00645103"/>
    <w:rsid w:val="00652CFF"/>
    <w:rsid w:val="00664AF7"/>
    <w:rsid w:val="006668E8"/>
    <w:rsid w:val="00672AC2"/>
    <w:rsid w:val="00674172"/>
    <w:rsid w:val="006768A2"/>
    <w:rsid w:val="00682E08"/>
    <w:rsid w:val="006878BA"/>
    <w:rsid w:val="00693DD3"/>
    <w:rsid w:val="006C23E0"/>
    <w:rsid w:val="006C27E1"/>
    <w:rsid w:val="006C3EA7"/>
    <w:rsid w:val="006E1FAD"/>
    <w:rsid w:val="006E3723"/>
    <w:rsid w:val="006F2FCD"/>
    <w:rsid w:val="00705299"/>
    <w:rsid w:val="00707DDA"/>
    <w:rsid w:val="00713C11"/>
    <w:rsid w:val="00715E14"/>
    <w:rsid w:val="0072132A"/>
    <w:rsid w:val="00723EF5"/>
    <w:rsid w:val="00733500"/>
    <w:rsid w:val="00742C34"/>
    <w:rsid w:val="007449C1"/>
    <w:rsid w:val="007636D6"/>
    <w:rsid w:val="007722B8"/>
    <w:rsid w:val="00772BCA"/>
    <w:rsid w:val="00780DF7"/>
    <w:rsid w:val="00784806"/>
    <w:rsid w:val="00784D77"/>
    <w:rsid w:val="00787073"/>
    <w:rsid w:val="007934DB"/>
    <w:rsid w:val="007A5AB1"/>
    <w:rsid w:val="007B2D10"/>
    <w:rsid w:val="007B6078"/>
    <w:rsid w:val="007C008C"/>
    <w:rsid w:val="007D192B"/>
    <w:rsid w:val="007D5096"/>
    <w:rsid w:val="007D73C8"/>
    <w:rsid w:val="00813634"/>
    <w:rsid w:val="008162BD"/>
    <w:rsid w:val="00833CE8"/>
    <w:rsid w:val="008532C2"/>
    <w:rsid w:val="00855069"/>
    <w:rsid w:val="008609A8"/>
    <w:rsid w:val="008723EC"/>
    <w:rsid w:val="008762CA"/>
    <w:rsid w:val="008969AB"/>
    <w:rsid w:val="00897CDD"/>
    <w:rsid w:val="008A1FF3"/>
    <w:rsid w:val="008A2A7A"/>
    <w:rsid w:val="008A3294"/>
    <w:rsid w:val="008A4383"/>
    <w:rsid w:val="008A59E7"/>
    <w:rsid w:val="008B2287"/>
    <w:rsid w:val="008B720E"/>
    <w:rsid w:val="008C343C"/>
    <w:rsid w:val="008C5928"/>
    <w:rsid w:val="008C7694"/>
    <w:rsid w:val="008D0581"/>
    <w:rsid w:val="008D6CD3"/>
    <w:rsid w:val="008E025C"/>
    <w:rsid w:val="008E4680"/>
    <w:rsid w:val="008F2E63"/>
    <w:rsid w:val="0091168F"/>
    <w:rsid w:val="009151A5"/>
    <w:rsid w:val="009212B3"/>
    <w:rsid w:val="009235FD"/>
    <w:rsid w:val="00931718"/>
    <w:rsid w:val="00932EED"/>
    <w:rsid w:val="00934B58"/>
    <w:rsid w:val="009412CE"/>
    <w:rsid w:val="00950802"/>
    <w:rsid w:val="00953BDD"/>
    <w:rsid w:val="00953EE1"/>
    <w:rsid w:val="00975E12"/>
    <w:rsid w:val="009774BE"/>
    <w:rsid w:val="009B244E"/>
    <w:rsid w:val="009E7DFE"/>
    <w:rsid w:val="009F1536"/>
    <w:rsid w:val="009F25ED"/>
    <w:rsid w:val="009F5B0F"/>
    <w:rsid w:val="00A055D0"/>
    <w:rsid w:val="00A20739"/>
    <w:rsid w:val="00A244A2"/>
    <w:rsid w:val="00A24E7D"/>
    <w:rsid w:val="00A37FBC"/>
    <w:rsid w:val="00A4252F"/>
    <w:rsid w:val="00A5477D"/>
    <w:rsid w:val="00A61AA5"/>
    <w:rsid w:val="00A630CA"/>
    <w:rsid w:val="00A73DA7"/>
    <w:rsid w:val="00A7409F"/>
    <w:rsid w:val="00A803A0"/>
    <w:rsid w:val="00A942D9"/>
    <w:rsid w:val="00AA2B13"/>
    <w:rsid w:val="00AA57DB"/>
    <w:rsid w:val="00AA63C4"/>
    <w:rsid w:val="00AB2F03"/>
    <w:rsid w:val="00AC0AB7"/>
    <w:rsid w:val="00AC5FA4"/>
    <w:rsid w:val="00AD28AC"/>
    <w:rsid w:val="00AE4737"/>
    <w:rsid w:val="00AE4B2A"/>
    <w:rsid w:val="00AF5C9F"/>
    <w:rsid w:val="00B16155"/>
    <w:rsid w:val="00B17C91"/>
    <w:rsid w:val="00B17CCC"/>
    <w:rsid w:val="00B21111"/>
    <w:rsid w:val="00B36B8E"/>
    <w:rsid w:val="00B406D6"/>
    <w:rsid w:val="00B41D40"/>
    <w:rsid w:val="00B41EEB"/>
    <w:rsid w:val="00B47EA0"/>
    <w:rsid w:val="00B51984"/>
    <w:rsid w:val="00B53320"/>
    <w:rsid w:val="00B53763"/>
    <w:rsid w:val="00B616CE"/>
    <w:rsid w:val="00B650EA"/>
    <w:rsid w:val="00B65640"/>
    <w:rsid w:val="00B72031"/>
    <w:rsid w:val="00B73111"/>
    <w:rsid w:val="00B75966"/>
    <w:rsid w:val="00B80071"/>
    <w:rsid w:val="00B856C1"/>
    <w:rsid w:val="00B9056B"/>
    <w:rsid w:val="00BA3E56"/>
    <w:rsid w:val="00BA4616"/>
    <w:rsid w:val="00BB2508"/>
    <w:rsid w:val="00BC46E2"/>
    <w:rsid w:val="00BC68A5"/>
    <w:rsid w:val="00BD7141"/>
    <w:rsid w:val="00BE44D9"/>
    <w:rsid w:val="00BE52F0"/>
    <w:rsid w:val="00BF0BB4"/>
    <w:rsid w:val="00BF0EAD"/>
    <w:rsid w:val="00C048C5"/>
    <w:rsid w:val="00C13040"/>
    <w:rsid w:val="00C233A4"/>
    <w:rsid w:val="00C333D6"/>
    <w:rsid w:val="00C40564"/>
    <w:rsid w:val="00C46CAE"/>
    <w:rsid w:val="00C50DAB"/>
    <w:rsid w:val="00C52D53"/>
    <w:rsid w:val="00C571E4"/>
    <w:rsid w:val="00C62A4A"/>
    <w:rsid w:val="00C62D77"/>
    <w:rsid w:val="00C70D41"/>
    <w:rsid w:val="00C752D7"/>
    <w:rsid w:val="00C817A6"/>
    <w:rsid w:val="00C820CA"/>
    <w:rsid w:val="00CB6953"/>
    <w:rsid w:val="00CC7A80"/>
    <w:rsid w:val="00CD1BE8"/>
    <w:rsid w:val="00CD7689"/>
    <w:rsid w:val="00CF53B3"/>
    <w:rsid w:val="00D0437F"/>
    <w:rsid w:val="00D05427"/>
    <w:rsid w:val="00D05B33"/>
    <w:rsid w:val="00D06B74"/>
    <w:rsid w:val="00D07DD9"/>
    <w:rsid w:val="00D12C22"/>
    <w:rsid w:val="00D41435"/>
    <w:rsid w:val="00D42469"/>
    <w:rsid w:val="00D44458"/>
    <w:rsid w:val="00D444A6"/>
    <w:rsid w:val="00D46F6D"/>
    <w:rsid w:val="00D54C12"/>
    <w:rsid w:val="00D61A5D"/>
    <w:rsid w:val="00D62355"/>
    <w:rsid w:val="00D709A3"/>
    <w:rsid w:val="00D80AC2"/>
    <w:rsid w:val="00D82F9F"/>
    <w:rsid w:val="00D87649"/>
    <w:rsid w:val="00D925CC"/>
    <w:rsid w:val="00DA0398"/>
    <w:rsid w:val="00DA1B24"/>
    <w:rsid w:val="00DA2155"/>
    <w:rsid w:val="00DB424D"/>
    <w:rsid w:val="00DB4671"/>
    <w:rsid w:val="00DC0087"/>
    <w:rsid w:val="00DC03C0"/>
    <w:rsid w:val="00DF277D"/>
    <w:rsid w:val="00DF32CA"/>
    <w:rsid w:val="00DF3DDF"/>
    <w:rsid w:val="00E14996"/>
    <w:rsid w:val="00E42A3E"/>
    <w:rsid w:val="00E5571A"/>
    <w:rsid w:val="00E646C6"/>
    <w:rsid w:val="00E64E27"/>
    <w:rsid w:val="00E67060"/>
    <w:rsid w:val="00E67662"/>
    <w:rsid w:val="00E83EA5"/>
    <w:rsid w:val="00E84211"/>
    <w:rsid w:val="00E85458"/>
    <w:rsid w:val="00E85C67"/>
    <w:rsid w:val="00E90B12"/>
    <w:rsid w:val="00E94A9E"/>
    <w:rsid w:val="00E95435"/>
    <w:rsid w:val="00E9699C"/>
    <w:rsid w:val="00EB78F0"/>
    <w:rsid w:val="00EC1317"/>
    <w:rsid w:val="00EC1769"/>
    <w:rsid w:val="00EC5BC7"/>
    <w:rsid w:val="00ED41CD"/>
    <w:rsid w:val="00EF045E"/>
    <w:rsid w:val="00EF58D5"/>
    <w:rsid w:val="00F02B1B"/>
    <w:rsid w:val="00F049BC"/>
    <w:rsid w:val="00F10819"/>
    <w:rsid w:val="00F20822"/>
    <w:rsid w:val="00F2360D"/>
    <w:rsid w:val="00F264B6"/>
    <w:rsid w:val="00F30EC9"/>
    <w:rsid w:val="00F34070"/>
    <w:rsid w:val="00F417C2"/>
    <w:rsid w:val="00F46487"/>
    <w:rsid w:val="00F57875"/>
    <w:rsid w:val="00F61574"/>
    <w:rsid w:val="00F6295A"/>
    <w:rsid w:val="00F66A58"/>
    <w:rsid w:val="00F708E3"/>
    <w:rsid w:val="00F7640B"/>
    <w:rsid w:val="00F86C83"/>
    <w:rsid w:val="00F87214"/>
    <w:rsid w:val="00F92074"/>
    <w:rsid w:val="00F94147"/>
    <w:rsid w:val="00F95BBB"/>
    <w:rsid w:val="00FA4AF0"/>
    <w:rsid w:val="00FB0546"/>
    <w:rsid w:val="00FB0C8B"/>
    <w:rsid w:val="00FB11B4"/>
    <w:rsid w:val="00FB1A8E"/>
    <w:rsid w:val="00FB4966"/>
    <w:rsid w:val="00FC68C5"/>
    <w:rsid w:val="00FE0195"/>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42"/>
  </w:style>
  <w:style w:type="paragraph" w:styleId="Footer">
    <w:name w:val="footer"/>
    <w:basedOn w:val="Normal"/>
    <w:link w:val="FooterChar"/>
    <w:uiPriority w:val="99"/>
    <w:unhideWhenUsed/>
    <w:rsid w:val="005B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42"/>
  </w:style>
  <w:style w:type="table" w:styleId="TableGrid">
    <w:name w:val="Table Grid"/>
    <w:basedOn w:val="TableNormal"/>
    <w:uiPriority w:val="59"/>
    <w:rsid w:val="005B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HUD Footnote Text"/>
    <w:basedOn w:val="Normal"/>
    <w:link w:val="FootnoteTextChar"/>
    <w:unhideWhenUsed/>
    <w:rsid w:val="00C52D53"/>
    <w:pPr>
      <w:spacing w:after="0" w:line="240" w:lineRule="auto"/>
    </w:pPr>
    <w:rPr>
      <w:sz w:val="20"/>
      <w:szCs w:val="20"/>
    </w:rPr>
  </w:style>
  <w:style w:type="character" w:customStyle="1" w:styleId="FootnoteTextChar">
    <w:name w:val="Footnote Text Char"/>
    <w:aliases w:val="HUD Footnote Text Char"/>
    <w:basedOn w:val="DefaultParagraphFont"/>
    <w:link w:val="FootnoteText"/>
    <w:rsid w:val="00C52D53"/>
    <w:rPr>
      <w:sz w:val="20"/>
      <w:szCs w:val="20"/>
    </w:rPr>
  </w:style>
  <w:style w:type="character" w:styleId="FootnoteReference">
    <w:name w:val="footnote reference"/>
    <w:basedOn w:val="DefaultParagraphFont"/>
    <w:unhideWhenUsed/>
    <w:rsid w:val="00C52D53"/>
    <w:rPr>
      <w:vertAlign w:val="superscript"/>
    </w:rPr>
  </w:style>
  <w:style w:type="character" w:styleId="Hyperlink">
    <w:name w:val="Hyperlink"/>
    <w:basedOn w:val="DefaultParagraphFont"/>
    <w:uiPriority w:val="99"/>
    <w:unhideWhenUsed/>
    <w:rsid w:val="00C52D53"/>
    <w:rPr>
      <w:color w:val="0000FF" w:themeColor="hyperlink"/>
      <w:u w:val="single"/>
    </w:rPr>
  </w:style>
  <w:style w:type="paragraph" w:styleId="ListParagraph">
    <w:name w:val="List Paragraph"/>
    <w:basedOn w:val="Normal"/>
    <w:uiPriority w:val="34"/>
    <w:qFormat/>
    <w:rsid w:val="00C52D53"/>
    <w:pPr>
      <w:ind w:left="720"/>
      <w:contextualSpacing/>
    </w:pPr>
  </w:style>
  <w:style w:type="paragraph" w:styleId="ListBullet">
    <w:name w:val="List Bullet"/>
    <w:basedOn w:val="Normal"/>
    <w:uiPriority w:val="99"/>
    <w:unhideWhenUsed/>
    <w:rsid w:val="00C52D53"/>
    <w:pPr>
      <w:contextualSpacing/>
    </w:pPr>
  </w:style>
  <w:style w:type="paragraph" w:styleId="BodyText">
    <w:name w:val="Body Text"/>
    <w:basedOn w:val="Normal"/>
    <w:link w:val="BodyTextChar"/>
    <w:uiPriority w:val="99"/>
    <w:unhideWhenUsed/>
    <w:rsid w:val="00C52D53"/>
    <w:pPr>
      <w:spacing w:after="120"/>
    </w:pPr>
  </w:style>
  <w:style w:type="character" w:customStyle="1" w:styleId="BodyTextChar">
    <w:name w:val="Body Text Char"/>
    <w:basedOn w:val="DefaultParagraphFont"/>
    <w:link w:val="BodyText"/>
    <w:uiPriority w:val="99"/>
    <w:rsid w:val="00C52D53"/>
  </w:style>
  <w:style w:type="character" w:customStyle="1" w:styleId="Heading2Char">
    <w:name w:val="Heading 2 Char"/>
    <w:basedOn w:val="DefaultParagraphFont"/>
    <w:link w:val="Heading2"/>
    <w:uiPriority w:val="9"/>
    <w:rsid w:val="00C52D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F53B3"/>
    <w:rPr>
      <w:sz w:val="16"/>
      <w:szCs w:val="16"/>
    </w:rPr>
  </w:style>
  <w:style w:type="paragraph" w:styleId="CommentText">
    <w:name w:val="annotation text"/>
    <w:basedOn w:val="Normal"/>
    <w:link w:val="CommentTextChar"/>
    <w:semiHidden/>
    <w:unhideWhenUsed/>
    <w:rsid w:val="00CF53B3"/>
    <w:pPr>
      <w:spacing w:line="240" w:lineRule="auto"/>
    </w:pPr>
    <w:rPr>
      <w:sz w:val="20"/>
      <w:szCs w:val="20"/>
    </w:rPr>
  </w:style>
  <w:style w:type="character" w:customStyle="1" w:styleId="CommentTextChar">
    <w:name w:val="Comment Text Char"/>
    <w:basedOn w:val="DefaultParagraphFont"/>
    <w:link w:val="CommentText"/>
    <w:semiHidden/>
    <w:rsid w:val="00CF53B3"/>
    <w:rPr>
      <w:sz w:val="20"/>
      <w:szCs w:val="20"/>
    </w:rPr>
  </w:style>
  <w:style w:type="paragraph" w:styleId="CommentSubject">
    <w:name w:val="annotation subject"/>
    <w:basedOn w:val="CommentText"/>
    <w:next w:val="CommentText"/>
    <w:link w:val="CommentSubjectChar"/>
    <w:uiPriority w:val="99"/>
    <w:semiHidden/>
    <w:unhideWhenUsed/>
    <w:rsid w:val="00CF53B3"/>
    <w:rPr>
      <w:b/>
      <w:bCs/>
    </w:rPr>
  </w:style>
  <w:style w:type="character" w:customStyle="1" w:styleId="CommentSubjectChar">
    <w:name w:val="Comment Subject Char"/>
    <w:basedOn w:val="CommentTextChar"/>
    <w:link w:val="CommentSubject"/>
    <w:uiPriority w:val="99"/>
    <w:semiHidden/>
    <w:rsid w:val="00CF53B3"/>
    <w:rPr>
      <w:b/>
      <w:bCs/>
      <w:sz w:val="20"/>
      <w:szCs w:val="20"/>
    </w:rPr>
  </w:style>
  <w:style w:type="paragraph" w:styleId="BalloonText">
    <w:name w:val="Balloon Text"/>
    <w:basedOn w:val="Normal"/>
    <w:link w:val="BalloonTextChar"/>
    <w:uiPriority w:val="99"/>
    <w:semiHidden/>
    <w:unhideWhenUsed/>
    <w:rsid w:val="00CF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B3"/>
    <w:rPr>
      <w:rFonts w:ascii="Tahoma" w:hAnsi="Tahoma" w:cs="Tahoma"/>
      <w:sz w:val="16"/>
      <w:szCs w:val="16"/>
    </w:rPr>
  </w:style>
  <w:style w:type="character" w:customStyle="1" w:styleId="Heading4Char">
    <w:name w:val="Heading 4 Char"/>
    <w:basedOn w:val="DefaultParagraphFont"/>
    <w:link w:val="Heading4"/>
    <w:uiPriority w:val="9"/>
    <w:rsid w:val="0041337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133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11B4"/>
    <w:rPr>
      <w:color w:val="800080" w:themeColor="followedHyperlink"/>
      <w:u w:val="single"/>
    </w:rPr>
  </w:style>
  <w:style w:type="paragraph" w:styleId="Caption">
    <w:name w:val="caption"/>
    <w:basedOn w:val="Normal"/>
    <w:next w:val="Normal"/>
    <w:uiPriority w:val="35"/>
    <w:unhideWhenUsed/>
    <w:qFormat/>
    <w:rsid w:val="00F049B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53B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668E8"/>
    <w:rPr>
      <w:color w:val="808080"/>
    </w:rPr>
  </w:style>
  <w:style w:type="paragraph" w:styleId="ListContinue">
    <w:name w:val="List Continue"/>
    <w:basedOn w:val="Normal"/>
    <w:uiPriority w:val="99"/>
    <w:unhideWhenUsed/>
    <w:rsid w:val="006C23E0"/>
    <w:pPr>
      <w:spacing w:after="120"/>
      <w:ind w:left="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D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3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42"/>
  </w:style>
  <w:style w:type="paragraph" w:styleId="Footer">
    <w:name w:val="footer"/>
    <w:basedOn w:val="Normal"/>
    <w:link w:val="FooterChar"/>
    <w:uiPriority w:val="99"/>
    <w:unhideWhenUsed/>
    <w:rsid w:val="005B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42"/>
  </w:style>
  <w:style w:type="table" w:styleId="TableGrid">
    <w:name w:val="Table Grid"/>
    <w:basedOn w:val="TableNormal"/>
    <w:uiPriority w:val="59"/>
    <w:rsid w:val="005B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HUD Footnote Text"/>
    <w:basedOn w:val="Normal"/>
    <w:link w:val="FootnoteTextChar"/>
    <w:unhideWhenUsed/>
    <w:rsid w:val="00C52D53"/>
    <w:pPr>
      <w:spacing w:after="0" w:line="240" w:lineRule="auto"/>
    </w:pPr>
    <w:rPr>
      <w:sz w:val="20"/>
      <w:szCs w:val="20"/>
    </w:rPr>
  </w:style>
  <w:style w:type="character" w:customStyle="1" w:styleId="FootnoteTextChar">
    <w:name w:val="Footnote Text Char"/>
    <w:aliases w:val="HUD Footnote Text Char"/>
    <w:basedOn w:val="DefaultParagraphFont"/>
    <w:link w:val="FootnoteText"/>
    <w:rsid w:val="00C52D53"/>
    <w:rPr>
      <w:sz w:val="20"/>
      <w:szCs w:val="20"/>
    </w:rPr>
  </w:style>
  <w:style w:type="character" w:styleId="FootnoteReference">
    <w:name w:val="footnote reference"/>
    <w:basedOn w:val="DefaultParagraphFont"/>
    <w:unhideWhenUsed/>
    <w:rsid w:val="00C52D53"/>
    <w:rPr>
      <w:vertAlign w:val="superscript"/>
    </w:rPr>
  </w:style>
  <w:style w:type="character" w:styleId="Hyperlink">
    <w:name w:val="Hyperlink"/>
    <w:basedOn w:val="DefaultParagraphFont"/>
    <w:uiPriority w:val="99"/>
    <w:unhideWhenUsed/>
    <w:rsid w:val="00C52D53"/>
    <w:rPr>
      <w:color w:val="0000FF" w:themeColor="hyperlink"/>
      <w:u w:val="single"/>
    </w:rPr>
  </w:style>
  <w:style w:type="paragraph" w:styleId="ListParagraph">
    <w:name w:val="List Paragraph"/>
    <w:basedOn w:val="Normal"/>
    <w:uiPriority w:val="34"/>
    <w:qFormat/>
    <w:rsid w:val="00C52D53"/>
    <w:pPr>
      <w:ind w:left="720"/>
      <w:contextualSpacing/>
    </w:pPr>
  </w:style>
  <w:style w:type="paragraph" w:styleId="ListBullet">
    <w:name w:val="List Bullet"/>
    <w:basedOn w:val="Normal"/>
    <w:uiPriority w:val="99"/>
    <w:unhideWhenUsed/>
    <w:rsid w:val="00C52D53"/>
    <w:pPr>
      <w:contextualSpacing/>
    </w:pPr>
  </w:style>
  <w:style w:type="paragraph" w:styleId="BodyText">
    <w:name w:val="Body Text"/>
    <w:basedOn w:val="Normal"/>
    <w:link w:val="BodyTextChar"/>
    <w:uiPriority w:val="99"/>
    <w:unhideWhenUsed/>
    <w:rsid w:val="00C52D53"/>
    <w:pPr>
      <w:spacing w:after="120"/>
    </w:pPr>
  </w:style>
  <w:style w:type="character" w:customStyle="1" w:styleId="BodyTextChar">
    <w:name w:val="Body Text Char"/>
    <w:basedOn w:val="DefaultParagraphFont"/>
    <w:link w:val="BodyText"/>
    <w:uiPriority w:val="99"/>
    <w:rsid w:val="00C52D53"/>
  </w:style>
  <w:style w:type="character" w:customStyle="1" w:styleId="Heading2Char">
    <w:name w:val="Heading 2 Char"/>
    <w:basedOn w:val="DefaultParagraphFont"/>
    <w:link w:val="Heading2"/>
    <w:uiPriority w:val="9"/>
    <w:rsid w:val="00C52D5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F53B3"/>
    <w:rPr>
      <w:sz w:val="16"/>
      <w:szCs w:val="16"/>
    </w:rPr>
  </w:style>
  <w:style w:type="paragraph" w:styleId="CommentText">
    <w:name w:val="annotation text"/>
    <w:basedOn w:val="Normal"/>
    <w:link w:val="CommentTextChar"/>
    <w:semiHidden/>
    <w:unhideWhenUsed/>
    <w:rsid w:val="00CF53B3"/>
    <w:pPr>
      <w:spacing w:line="240" w:lineRule="auto"/>
    </w:pPr>
    <w:rPr>
      <w:sz w:val="20"/>
      <w:szCs w:val="20"/>
    </w:rPr>
  </w:style>
  <w:style w:type="character" w:customStyle="1" w:styleId="CommentTextChar">
    <w:name w:val="Comment Text Char"/>
    <w:basedOn w:val="DefaultParagraphFont"/>
    <w:link w:val="CommentText"/>
    <w:semiHidden/>
    <w:rsid w:val="00CF53B3"/>
    <w:rPr>
      <w:sz w:val="20"/>
      <w:szCs w:val="20"/>
    </w:rPr>
  </w:style>
  <w:style w:type="paragraph" w:styleId="CommentSubject">
    <w:name w:val="annotation subject"/>
    <w:basedOn w:val="CommentText"/>
    <w:next w:val="CommentText"/>
    <w:link w:val="CommentSubjectChar"/>
    <w:uiPriority w:val="99"/>
    <w:semiHidden/>
    <w:unhideWhenUsed/>
    <w:rsid w:val="00CF53B3"/>
    <w:rPr>
      <w:b/>
      <w:bCs/>
    </w:rPr>
  </w:style>
  <w:style w:type="character" w:customStyle="1" w:styleId="CommentSubjectChar">
    <w:name w:val="Comment Subject Char"/>
    <w:basedOn w:val="CommentTextChar"/>
    <w:link w:val="CommentSubject"/>
    <w:uiPriority w:val="99"/>
    <w:semiHidden/>
    <w:rsid w:val="00CF53B3"/>
    <w:rPr>
      <w:b/>
      <w:bCs/>
      <w:sz w:val="20"/>
      <w:szCs w:val="20"/>
    </w:rPr>
  </w:style>
  <w:style w:type="paragraph" w:styleId="BalloonText">
    <w:name w:val="Balloon Text"/>
    <w:basedOn w:val="Normal"/>
    <w:link w:val="BalloonTextChar"/>
    <w:uiPriority w:val="99"/>
    <w:semiHidden/>
    <w:unhideWhenUsed/>
    <w:rsid w:val="00CF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B3"/>
    <w:rPr>
      <w:rFonts w:ascii="Tahoma" w:hAnsi="Tahoma" w:cs="Tahoma"/>
      <w:sz w:val="16"/>
      <w:szCs w:val="16"/>
    </w:rPr>
  </w:style>
  <w:style w:type="character" w:customStyle="1" w:styleId="Heading4Char">
    <w:name w:val="Heading 4 Char"/>
    <w:basedOn w:val="DefaultParagraphFont"/>
    <w:link w:val="Heading4"/>
    <w:uiPriority w:val="9"/>
    <w:rsid w:val="0041337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4133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B11B4"/>
    <w:rPr>
      <w:color w:val="800080" w:themeColor="followedHyperlink"/>
      <w:u w:val="single"/>
    </w:rPr>
  </w:style>
  <w:style w:type="paragraph" w:styleId="Caption">
    <w:name w:val="caption"/>
    <w:basedOn w:val="Normal"/>
    <w:next w:val="Normal"/>
    <w:uiPriority w:val="35"/>
    <w:unhideWhenUsed/>
    <w:qFormat/>
    <w:rsid w:val="00F049BC"/>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53BD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6668E8"/>
    <w:rPr>
      <w:color w:val="808080"/>
    </w:rPr>
  </w:style>
  <w:style w:type="paragraph" w:styleId="ListContinue">
    <w:name w:val="List Continue"/>
    <w:basedOn w:val="Normal"/>
    <w:uiPriority w:val="99"/>
    <w:unhideWhenUsed/>
    <w:rsid w:val="006C23E0"/>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746">
      <w:bodyDiv w:val="1"/>
      <w:marLeft w:val="0"/>
      <w:marRight w:val="0"/>
      <w:marTop w:val="0"/>
      <w:marBottom w:val="0"/>
      <w:divBdr>
        <w:top w:val="none" w:sz="0" w:space="0" w:color="auto"/>
        <w:left w:val="none" w:sz="0" w:space="0" w:color="auto"/>
        <w:bottom w:val="none" w:sz="0" w:space="0" w:color="auto"/>
        <w:right w:val="none" w:sz="0" w:space="0" w:color="auto"/>
      </w:divBdr>
    </w:div>
    <w:div w:id="87966986">
      <w:bodyDiv w:val="1"/>
      <w:marLeft w:val="0"/>
      <w:marRight w:val="0"/>
      <w:marTop w:val="0"/>
      <w:marBottom w:val="0"/>
      <w:divBdr>
        <w:top w:val="none" w:sz="0" w:space="0" w:color="auto"/>
        <w:left w:val="none" w:sz="0" w:space="0" w:color="auto"/>
        <w:bottom w:val="none" w:sz="0" w:space="0" w:color="auto"/>
        <w:right w:val="none" w:sz="0" w:space="0" w:color="auto"/>
      </w:divBdr>
    </w:div>
    <w:div w:id="107356470">
      <w:bodyDiv w:val="1"/>
      <w:marLeft w:val="0"/>
      <w:marRight w:val="0"/>
      <w:marTop w:val="0"/>
      <w:marBottom w:val="0"/>
      <w:divBdr>
        <w:top w:val="none" w:sz="0" w:space="0" w:color="auto"/>
        <w:left w:val="none" w:sz="0" w:space="0" w:color="auto"/>
        <w:bottom w:val="none" w:sz="0" w:space="0" w:color="auto"/>
        <w:right w:val="none" w:sz="0" w:space="0" w:color="auto"/>
      </w:divBdr>
    </w:div>
    <w:div w:id="131873229">
      <w:bodyDiv w:val="1"/>
      <w:marLeft w:val="0"/>
      <w:marRight w:val="0"/>
      <w:marTop w:val="0"/>
      <w:marBottom w:val="0"/>
      <w:divBdr>
        <w:top w:val="none" w:sz="0" w:space="0" w:color="auto"/>
        <w:left w:val="none" w:sz="0" w:space="0" w:color="auto"/>
        <w:bottom w:val="none" w:sz="0" w:space="0" w:color="auto"/>
        <w:right w:val="none" w:sz="0" w:space="0" w:color="auto"/>
      </w:divBdr>
    </w:div>
    <w:div w:id="183136116">
      <w:bodyDiv w:val="1"/>
      <w:marLeft w:val="0"/>
      <w:marRight w:val="0"/>
      <w:marTop w:val="0"/>
      <w:marBottom w:val="0"/>
      <w:divBdr>
        <w:top w:val="none" w:sz="0" w:space="0" w:color="auto"/>
        <w:left w:val="none" w:sz="0" w:space="0" w:color="auto"/>
        <w:bottom w:val="none" w:sz="0" w:space="0" w:color="auto"/>
        <w:right w:val="none" w:sz="0" w:space="0" w:color="auto"/>
      </w:divBdr>
    </w:div>
    <w:div w:id="240532247">
      <w:bodyDiv w:val="1"/>
      <w:marLeft w:val="0"/>
      <w:marRight w:val="0"/>
      <w:marTop w:val="0"/>
      <w:marBottom w:val="0"/>
      <w:divBdr>
        <w:top w:val="none" w:sz="0" w:space="0" w:color="auto"/>
        <w:left w:val="none" w:sz="0" w:space="0" w:color="auto"/>
        <w:bottom w:val="none" w:sz="0" w:space="0" w:color="auto"/>
        <w:right w:val="none" w:sz="0" w:space="0" w:color="auto"/>
      </w:divBdr>
    </w:div>
    <w:div w:id="243296142">
      <w:bodyDiv w:val="1"/>
      <w:marLeft w:val="0"/>
      <w:marRight w:val="0"/>
      <w:marTop w:val="0"/>
      <w:marBottom w:val="0"/>
      <w:divBdr>
        <w:top w:val="none" w:sz="0" w:space="0" w:color="auto"/>
        <w:left w:val="none" w:sz="0" w:space="0" w:color="auto"/>
        <w:bottom w:val="none" w:sz="0" w:space="0" w:color="auto"/>
        <w:right w:val="none" w:sz="0" w:space="0" w:color="auto"/>
      </w:divBdr>
    </w:div>
    <w:div w:id="296687447">
      <w:bodyDiv w:val="1"/>
      <w:marLeft w:val="0"/>
      <w:marRight w:val="0"/>
      <w:marTop w:val="0"/>
      <w:marBottom w:val="0"/>
      <w:divBdr>
        <w:top w:val="none" w:sz="0" w:space="0" w:color="auto"/>
        <w:left w:val="none" w:sz="0" w:space="0" w:color="auto"/>
        <w:bottom w:val="none" w:sz="0" w:space="0" w:color="auto"/>
        <w:right w:val="none" w:sz="0" w:space="0" w:color="auto"/>
      </w:divBdr>
    </w:div>
    <w:div w:id="337585112">
      <w:bodyDiv w:val="1"/>
      <w:marLeft w:val="0"/>
      <w:marRight w:val="0"/>
      <w:marTop w:val="0"/>
      <w:marBottom w:val="0"/>
      <w:divBdr>
        <w:top w:val="none" w:sz="0" w:space="0" w:color="auto"/>
        <w:left w:val="none" w:sz="0" w:space="0" w:color="auto"/>
        <w:bottom w:val="none" w:sz="0" w:space="0" w:color="auto"/>
        <w:right w:val="none" w:sz="0" w:space="0" w:color="auto"/>
      </w:divBdr>
    </w:div>
    <w:div w:id="344791975">
      <w:bodyDiv w:val="1"/>
      <w:marLeft w:val="0"/>
      <w:marRight w:val="0"/>
      <w:marTop w:val="0"/>
      <w:marBottom w:val="0"/>
      <w:divBdr>
        <w:top w:val="none" w:sz="0" w:space="0" w:color="auto"/>
        <w:left w:val="none" w:sz="0" w:space="0" w:color="auto"/>
        <w:bottom w:val="none" w:sz="0" w:space="0" w:color="auto"/>
        <w:right w:val="none" w:sz="0" w:space="0" w:color="auto"/>
      </w:divBdr>
    </w:div>
    <w:div w:id="395859341">
      <w:bodyDiv w:val="1"/>
      <w:marLeft w:val="0"/>
      <w:marRight w:val="0"/>
      <w:marTop w:val="0"/>
      <w:marBottom w:val="0"/>
      <w:divBdr>
        <w:top w:val="none" w:sz="0" w:space="0" w:color="auto"/>
        <w:left w:val="none" w:sz="0" w:space="0" w:color="auto"/>
        <w:bottom w:val="none" w:sz="0" w:space="0" w:color="auto"/>
        <w:right w:val="none" w:sz="0" w:space="0" w:color="auto"/>
      </w:divBdr>
    </w:div>
    <w:div w:id="459031293">
      <w:bodyDiv w:val="1"/>
      <w:marLeft w:val="0"/>
      <w:marRight w:val="0"/>
      <w:marTop w:val="0"/>
      <w:marBottom w:val="0"/>
      <w:divBdr>
        <w:top w:val="none" w:sz="0" w:space="0" w:color="auto"/>
        <w:left w:val="none" w:sz="0" w:space="0" w:color="auto"/>
        <w:bottom w:val="none" w:sz="0" w:space="0" w:color="auto"/>
        <w:right w:val="none" w:sz="0" w:space="0" w:color="auto"/>
      </w:divBdr>
    </w:div>
    <w:div w:id="551843093">
      <w:bodyDiv w:val="1"/>
      <w:marLeft w:val="0"/>
      <w:marRight w:val="0"/>
      <w:marTop w:val="0"/>
      <w:marBottom w:val="0"/>
      <w:divBdr>
        <w:top w:val="none" w:sz="0" w:space="0" w:color="auto"/>
        <w:left w:val="none" w:sz="0" w:space="0" w:color="auto"/>
        <w:bottom w:val="none" w:sz="0" w:space="0" w:color="auto"/>
        <w:right w:val="none" w:sz="0" w:space="0" w:color="auto"/>
      </w:divBdr>
    </w:div>
    <w:div w:id="615526557">
      <w:bodyDiv w:val="1"/>
      <w:marLeft w:val="0"/>
      <w:marRight w:val="0"/>
      <w:marTop w:val="0"/>
      <w:marBottom w:val="0"/>
      <w:divBdr>
        <w:top w:val="none" w:sz="0" w:space="0" w:color="auto"/>
        <w:left w:val="none" w:sz="0" w:space="0" w:color="auto"/>
        <w:bottom w:val="none" w:sz="0" w:space="0" w:color="auto"/>
        <w:right w:val="none" w:sz="0" w:space="0" w:color="auto"/>
      </w:divBdr>
    </w:div>
    <w:div w:id="703791200">
      <w:bodyDiv w:val="1"/>
      <w:marLeft w:val="0"/>
      <w:marRight w:val="0"/>
      <w:marTop w:val="0"/>
      <w:marBottom w:val="0"/>
      <w:divBdr>
        <w:top w:val="none" w:sz="0" w:space="0" w:color="auto"/>
        <w:left w:val="none" w:sz="0" w:space="0" w:color="auto"/>
        <w:bottom w:val="none" w:sz="0" w:space="0" w:color="auto"/>
        <w:right w:val="none" w:sz="0" w:space="0" w:color="auto"/>
      </w:divBdr>
    </w:div>
    <w:div w:id="746610936">
      <w:bodyDiv w:val="1"/>
      <w:marLeft w:val="0"/>
      <w:marRight w:val="0"/>
      <w:marTop w:val="0"/>
      <w:marBottom w:val="0"/>
      <w:divBdr>
        <w:top w:val="none" w:sz="0" w:space="0" w:color="auto"/>
        <w:left w:val="none" w:sz="0" w:space="0" w:color="auto"/>
        <w:bottom w:val="none" w:sz="0" w:space="0" w:color="auto"/>
        <w:right w:val="none" w:sz="0" w:space="0" w:color="auto"/>
      </w:divBdr>
    </w:div>
    <w:div w:id="760879936">
      <w:bodyDiv w:val="1"/>
      <w:marLeft w:val="0"/>
      <w:marRight w:val="0"/>
      <w:marTop w:val="0"/>
      <w:marBottom w:val="0"/>
      <w:divBdr>
        <w:top w:val="none" w:sz="0" w:space="0" w:color="auto"/>
        <w:left w:val="none" w:sz="0" w:space="0" w:color="auto"/>
        <w:bottom w:val="none" w:sz="0" w:space="0" w:color="auto"/>
        <w:right w:val="none" w:sz="0" w:space="0" w:color="auto"/>
      </w:divBdr>
    </w:div>
    <w:div w:id="781657594">
      <w:bodyDiv w:val="1"/>
      <w:marLeft w:val="0"/>
      <w:marRight w:val="0"/>
      <w:marTop w:val="0"/>
      <w:marBottom w:val="0"/>
      <w:divBdr>
        <w:top w:val="none" w:sz="0" w:space="0" w:color="auto"/>
        <w:left w:val="none" w:sz="0" w:space="0" w:color="auto"/>
        <w:bottom w:val="none" w:sz="0" w:space="0" w:color="auto"/>
        <w:right w:val="none" w:sz="0" w:space="0" w:color="auto"/>
      </w:divBdr>
    </w:div>
    <w:div w:id="879319924">
      <w:bodyDiv w:val="1"/>
      <w:marLeft w:val="0"/>
      <w:marRight w:val="0"/>
      <w:marTop w:val="0"/>
      <w:marBottom w:val="0"/>
      <w:divBdr>
        <w:top w:val="none" w:sz="0" w:space="0" w:color="auto"/>
        <w:left w:val="none" w:sz="0" w:space="0" w:color="auto"/>
        <w:bottom w:val="none" w:sz="0" w:space="0" w:color="auto"/>
        <w:right w:val="none" w:sz="0" w:space="0" w:color="auto"/>
      </w:divBdr>
    </w:div>
    <w:div w:id="882593558">
      <w:bodyDiv w:val="1"/>
      <w:marLeft w:val="0"/>
      <w:marRight w:val="0"/>
      <w:marTop w:val="0"/>
      <w:marBottom w:val="0"/>
      <w:divBdr>
        <w:top w:val="none" w:sz="0" w:space="0" w:color="auto"/>
        <w:left w:val="none" w:sz="0" w:space="0" w:color="auto"/>
        <w:bottom w:val="none" w:sz="0" w:space="0" w:color="auto"/>
        <w:right w:val="none" w:sz="0" w:space="0" w:color="auto"/>
      </w:divBdr>
    </w:div>
    <w:div w:id="927009259">
      <w:bodyDiv w:val="1"/>
      <w:marLeft w:val="0"/>
      <w:marRight w:val="0"/>
      <w:marTop w:val="0"/>
      <w:marBottom w:val="0"/>
      <w:divBdr>
        <w:top w:val="none" w:sz="0" w:space="0" w:color="auto"/>
        <w:left w:val="none" w:sz="0" w:space="0" w:color="auto"/>
        <w:bottom w:val="none" w:sz="0" w:space="0" w:color="auto"/>
        <w:right w:val="none" w:sz="0" w:space="0" w:color="auto"/>
      </w:divBdr>
    </w:div>
    <w:div w:id="934364526">
      <w:bodyDiv w:val="1"/>
      <w:marLeft w:val="0"/>
      <w:marRight w:val="0"/>
      <w:marTop w:val="0"/>
      <w:marBottom w:val="0"/>
      <w:divBdr>
        <w:top w:val="none" w:sz="0" w:space="0" w:color="auto"/>
        <w:left w:val="none" w:sz="0" w:space="0" w:color="auto"/>
        <w:bottom w:val="none" w:sz="0" w:space="0" w:color="auto"/>
        <w:right w:val="none" w:sz="0" w:space="0" w:color="auto"/>
      </w:divBdr>
    </w:div>
    <w:div w:id="1010133723">
      <w:bodyDiv w:val="1"/>
      <w:marLeft w:val="0"/>
      <w:marRight w:val="0"/>
      <w:marTop w:val="0"/>
      <w:marBottom w:val="0"/>
      <w:divBdr>
        <w:top w:val="none" w:sz="0" w:space="0" w:color="auto"/>
        <w:left w:val="none" w:sz="0" w:space="0" w:color="auto"/>
        <w:bottom w:val="none" w:sz="0" w:space="0" w:color="auto"/>
        <w:right w:val="none" w:sz="0" w:space="0" w:color="auto"/>
      </w:divBdr>
    </w:div>
    <w:div w:id="1036656556">
      <w:bodyDiv w:val="1"/>
      <w:marLeft w:val="0"/>
      <w:marRight w:val="0"/>
      <w:marTop w:val="0"/>
      <w:marBottom w:val="0"/>
      <w:divBdr>
        <w:top w:val="none" w:sz="0" w:space="0" w:color="auto"/>
        <w:left w:val="none" w:sz="0" w:space="0" w:color="auto"/>
        <w:bottom w:val="none" w:sz="0" w:space="0" w:color="auto"/>
        <w:right w:val="none" w:sz="0" w:space="0" w:color="auto"/>
      </w:divBdr>
    </w:div>
    <w:div w:id="1043864563">
      <w:bodyDiv w:val="1"/>
      <w:marLeft w:val="0"/>
      <w:marRight w:val="0"/>
      <w:marTop w:val="0"/>
      <w:marBottom w:val="0"/>
      <w:divBdr>
        <w:top w:val="none" w:sz="0" w:space="0" w:color="auto"/>
        <w:left w:val="none" w:sz="0" w:space="0" w:color="auto"/>
        <w:bottom w:val="none" w:sz="0" w:space="0" w:color="auto"/>
        <w:right w:val="none" w:sz="0" w:space="0" w:color="auto"/>
      </w:divBdr>
    </w:div>
    <w:div w:id="1048989509">
      <w:bodyDiv w:val="1"/>
      <w:marLeft w:val="0"/>
      <w:marRight w:val="0"/>
      <w:marTop w:val="0"/>
      <w:marBottom w:val="0"/>
      <w:divBdr>
        <w:top w:val="none" w:sz="0" w:space="0" w:color="auto"/>
        <w:left w:val="none" w:sz="0" w:space="0" w:color="auto"/>
        <w:bottom w:val="none" w:sz="0" w:space="0" w:color="auto"/>
        <w:right w:val="none" w:sz="0" w:space="0" w:color="auto"/>
      </w:divBdr>
    </w:div>
    <w:div w:id="1087726615">
      <w:bodyDiv w:val="1"/>
      <w:marLeft w:val="0"/>
      <w:marRight w:val="0"/>
      <w:marTop w:val="0"/>
      <w:marBottom w:val="0"/>
      <w:divBdr>
        <w:top w:val="none" w:sz="0" w:space="0" w:color="auto"/>
        <w:left w:val="none" w:sz="0" w:space="0" w:color="auto"/>
        <w:bottom w:val="none" w:sz="0" w:space="0" w:color="auto"/>
        <w:right w:val="none" w:sz="0" w:space="0" w:color="auto"/>
      </w:divBdr>
    </w:div>
    <w:div w:id="1118529912">
      <w:bodyDiv w:val="1"/>
      <w:marLeft w:val="0"/>
      <w:marRight w:val="0"/>
      <w:marTop w:val="0"/>
      <w:marBottom w:val="0"/>
      <w:divBdr>
        <w:top w:val="none" w:sz="0" w:space="0" w:color="auto"/>
        <w:left w:val="none" w:sz="0" w:space="0" w:color="auto"/>
        <w:bottom w:val="none" w:sz="0" w:space="0" w:color="auto"/>
        <w:right w:val="none" w:sz="0" w:space="0" w:color="auto"/>
      </w:divBdr>
    </w:div>
    <w:div w:id="1119177876">
      <w:bodyDiv w:val="1"/>
      <w:marLeft w:val="0"/>
      <w:marRight w:val="0"/>
      <w:marTop w:val="0"/>
      <w:marBottom w:val="0"/>
      <w:divBdr>
        <w:top w:val="none" w:sz="0" w:space="0" w:color="auto"/>
        <w:left w:val="none" w:sz="0" w:space="0" w:color="auto"/>
        <w:bottom w:val="none" w:sz="0" w:space="0" w:color="auto"/>
        <w:right w:val="none" w:sz="0" w:space="0" w:color="auto"/>
      </w:divBdr>
    </w:div>
    <w:div w:id="1216434294">
      <w:bodyDiv w:val="1"/>
      <w:marLeft w:val="0"/>
      <w:marRight w:val="0"/>
      <w:marTop w:val="0"/>
      <w:marBottom w:val="0"/>
      <w:divBdr>
        <w:top w:val="none" w:sz="0" w:space="0" w:color="auto"/>
        <w:left w:val="none" w:sz="0" w:space="0" w:color="auto"/>
        <w:bottom w:val="none" w:sz="0" w:space="0" w:color="auto"/>
        <w:right w:val="none" w:sz="0" w:space="0" w:color="auto"/>
      </w:divBdr>
    </w:div>
    <w:div w:id="1279142567">
      <w:bodyDiv w:val="1"/>
      <w:marLeft w:val="0"/>
      <w:marRight w:val="0"/>
      <w:marTop w:val="0"/>
      <w:marBottom w:val="0"/>
      <w:divBdr>
        <w:top w:val="none" w:sz="0" w:space="0" w:color="auto"/>
        <w:left w:val="none" w:sz="0" w:space="0" w:color="auto"/>
        <w:bottom w:val="none" w:sz="0" w:space="0" w:color="auto"/>
        <w:right w:val="none" w:sz="0" w:space="0" w:color="auto"/>
      </w:divBdr>
    </w:div>
    <w:div w:id="1341738230">
      <w:bodyDiv w:val="1"/>
      <w:marLeft w:val="0"/>
      <w:marRight w:val="0"/>
      <w:marTop w:val="0"/>
      <w:marBottom w:val="0"/>
      <w:divBdr>
        <w:top w:val="none" w:sz="0" w:space="0" w:color="auto"/>
        <w:left w:val="none" w:sz="0" w:space="0" w:color="auto"/>
        <w:bottom w:val="none" w:sz="0" w:space="0" w:color="auto"/>
        <w:right w:val="none" w:sz="0" w:space="0" w:color="auto"/>
      </w:divBdr>
    </w:div>
    <w:div w:id="1381706007">
      <w:bodyDiv w:val="1"/>
      <w:marLeft w:val="0"/>
      <w:marRight w:val="0"/>
      <w:marTop w:val="0"/>
      <w:marBottom w:val="0"/>
      <w:divBdr>
        <w:top w:val="none" w:sz="0" w:space="0" w:color="auto"/>
        <w:left w:val="none" w:sz="0" w:space="0" w:color="auto"/>
        <w:bottom w:val="none" w:sz="0" w:space="0" w:color="auto"/>
        <w:right w:val="none" w:sz="0" w:space="0" w:color="auto"/>
      </w:divBdr>
    </w:div>
    <w:div w:id="1447694182">
      <w:bodyDiv w:val="1"/>
      <w:marLeft w:val="0"/>
      <w:marRight w:val="0"/>
      <w:marTop w:val="0"/>
      <w:marBottom w:val="0"/>
      <w:divBdr>
        <w:top w:val="none" w:sz="0" w:space="0" w:color="auto"/>
        <w:left w:val="none" w:sz="0" w:space="0" w:color="auto"/>
        <w:bottom w:val="none" w:sz="0" w:space="0" w:color="auto"/>
        <w:right w:val="none" w:sz="0" w:space="0" w:color="auto"/>
      </w:divBdr>
    </w:div>
    <w:div w:id="1469319738">
      <w:bodyDiv w:val="1"/>
      <w:marLeft w:val="0"/>
      <w:marRight w:val="0"/>
      <w:marTop w:val="0"/>
      <w:marBottom w:val="0"/>
      <w:divBdr>
        <w:top w:val="none" w:sz="0" w:space="0" w:color="auto"/>
        <w:left w:val="none" w:sz="0" w:space="0" w:color="auto"/>
        <w:bottom w:val="none" w:sz="0" w:space="0" w:color="auto"/>
        <w:right w:val="none" w:sz="0" w:space="0" w:color="auto"/>
      </w:divBdr>
    </w:div>
    <w:div w:id="1469662065">
      <w:bodyDiv w:val="1"/>
      <w:marLeft w:val="0"/>
      <w:marRight w:val="0"/>
      <w:marTop w:val="0"/>
      <w:marBottom w:val="0"/>
      <w:divBdr>
        <w:top w:val="none" w:sz="0" w:space="0" w:color="auto"/>
        <w:left w:val="none" w:sz="0" w:space="0" w:color="auto"/>
        <w:bottom w:val="none" w:sz="0" w:space="0" w:color="auto"/>
        <w:right w:val="none" w:sz="0" w:space="0" w:color="auto"/>
      </w:divBdr>
    </w:div>
    <w:div w:id="1475565712">
      <w:bodyDiv w:val="1"/>
      <w:marLeft w:val="0"/>
      <w:marRight w:val="0"/>
      <w:marTop w:val="0"/>
      <w:marBottom w:val="0"/>
      <w:divBdr>
        <w:top w:val="none" w:sz="0" w:space="0" w:color="auto"/>
        <w:left w:val="none" w:sz="0" w:space="0" w:color="auto"/>
        <w:bottom w:val="none" w:sz="0" w:space="0" w:color="auto"/>
        <w:right w:val="none" w:sz="0" w:space="0" w:color="auto"/>
      </w:divBdr>
    </w:div>
    <w:div w:id="1551455309">
      <w:bodyDiv w:val="1"/>
      <w:marLeft w:val="0"/>
      <w:marRight w:val="0"/>
      <w:marTop w:val="0"/>
      <w:marBottom w:val="0"/>
      <w:divBdr>
        <w:top w:val="none" w:sz="0" w:space="0" w:color="auto"/>
        <w:left w:val="none" w:sz="0" w:space="0" w:color="auto"/>
        <w:bottom w:val="none" w:sz="0" w:space="0" w:color="auto"/>
        <w:right w:val="none" w:sz="0" w:space="0" w:color="auto"/>
      </w:divBdr>
    </w:div>
    <w:div w:id="1610507216">
      <w:bodyDiv w:val="1"/>
      <w:marLeft w:val="0"/>
      <w:marRight w:val="0"/>
      <w:marTop w:val="0"/>
      <w:marBottom w:val="0"/>
      <w:divBdr>
        <w:top w:val="none" w:sz="0" w:space="0" w:color="auto"/>
        <w:left w:val="none" w:sz="0" w:space="0" w:color="auto"/>
        <w:bottom w:val="none" w:sz="0" w:space="0" w:color="auto"/>
        <w:right w:val="none" w:sz="0" w:space="0" w:color="auto"/>
      </w:divBdr>
    </w:div>
    <w:div w:id="1674724320">
      <w:bodyDiv w:val="1"/>
      <w:marLeft w:val="0"/>
      <w:marRight w:val="0"/>
      <w:marTop w:val="0"/>
      <w:marBottom w:val="0"/>
      <w:divBdr>
        <w:top w:val="none" w:sz="0" w:space="0" w:color="auto"/>
        <w:left w:val="none" w:sz="0" w:space="0" w:color="auto"/>
        <w:bottom w:val="none" w:sz="0" w:space="0" w:color="auto"/>
        <w:right w:val="none" w:sz="0" w:space="0" w:color="auto"/>
      </w:divBdr>
    </w:div>
    <w:div w:id="1708481896">
      <w:bodyDiv w:val="1"/>
      <w:marLeft w:val="0"/>
      <w:marRight w:val="0"/>
      <w:marTop w:val="0"/>
      <w:marBottom w:val="0"/>
      <w:divBdr>
        <w:top w:val="none" w:sz="0" w:space="0" w:color="auto"/>
        <w:left w:val="none" w:sz="0" w:space="0" w:color="auto"/>
        <w:bottom w:val="none" w:sz="0" w:space="0" w:color="auto"/>
        <w:right w:val="none" w:sz="0" w:space="0" w:color="auto"/>
      </w:divBdr>
    </w:div>
    <w:div w:id="1711801733">
      <w:bodyDiv w:val="1"/>
      <w:marLeft w:val="0"/>
      <w:marRight w:val="0"/>
      <w:marTop w:val="0"/>
      <w:marBottom w:val="0"/>
      <w:divBdr>
        <w:top w:val="none" w:sz="0" w:space="0" w:color="auto"/>
        <w:left w:val="none" w:sz="0" w:space="0" w:color="auto"/>
        <w:bottom w:val="none" w:sz="0" w:space="0" w:color="auto"/>
        <w:right w:val="none" w:sz="0" w:space="0" w:color="auto"/>
      </w:divBdr>
    </w:div>
    <w:div w:id="1721518484">
      <w:bodyDiv w:val="1"/>
      <w:marLeft w:val="0"/>
      <w:marRight w:val="0"/>
      <w:marTop w:val="0"/>
      <w:marBottom w:val="0"/>
      <w:divBdr>
        <w:top w:val="none" w:sz="0" w:space="0" w:color="auto"/>
        <w:left w:val="none" w:sz="0" w:space="0" w:color="auto"/>
        <w:bottom w:val="none" w:sz="0" w:space="0" w:color="auto"/>
        <w:right w:val="none" w:sz="0" w:space="0" w:color="auto"/>
      </w:divBdr>
    </w:div>
    <w:div w:id="1744449459">
      <w:bodyDiv w:val="1"/>
      <w:marLeft w:val="0"/>
      <w:marRight w:val="0"/>
      <w:marTop w:val="0"/>
      <w:marBottom w:val="0"/>
      <w:divBdr>
        <w:top w:val="none" w:sz="0" w:space="0" w:color="auto"/>
        <w:left w:val="none" w:sz="0" w:space="0" w:color="auto"/>
        <w:bottom w:val="none" w:sz="0" w:space="0" w:color="auto"/>
        <w:right w:val="none" w:sz="0" w:space="0" w:color="auto"/>
      </w:divBdr>
    </w:div>
    <w:div w:id="1757748364">
      <w:bodyDiv w:val="1"/>
      <w:marLeft w:val="0"/>
      <w:marRight w:val="0"/>
      <w:marTop w:val="0"/>
      <w:marBottom w:val="0"/>
      <w:divBdr>
        <w:top w:val="none" w:sz="0" w:space="0" w:color="auto"/>
        <w:left w:val="none" w:sz="0" w:space="0" w:color="auto"/>
        <w:bottom w:val="none" w:sz="0" w:space="0" w:color="auto"/>
        <w:right w:val="none" w:sz="0" w:space="0" w:color="auto"/>
      </w:divBdr>
    </w:div>
    <w:div w:id="1761490825">
      <w:bodyDiv w:val="1"/>
      <w:marLeft w:val="0"/>
      <w:marRight w:val="0"/>
      <w:marTop w:val="0"/>
      <w:marBottom w:val="0"/>
      <w:divBdr>
        <w:top w:val="none" w:sz="0" w:space="0" w:color="auto"/>
        <w:left w:val="none" w:sz="0" w:space="0" w:color="auto"/>
        <w:bottom w:val="none" w:sz="0" w:space="0" w:color="auto"/>
        <w:right w:val="none" w:sz="0" w:space="0" w:color="auto"/>
      </w:divBdr>
    </w:div>
    <w:div w:id="1796634698">
      <w:bodyDiv w:val="1"/>
      <w:marLeft w:val="0"/>
      <w:marRight w:val="0"/>
      <w:marTop w:val="0"/>
      <w:marBottom w:val="0"/>
      <w:divBdr>
        <w:top w:val="none" w:sz="0" w:space="0" w:color="auto"/>
        <w:left w:val="none" w:sz="0" w:space="0" w:color="auto"/>
        <w:bottom w:val="none" w:sz="0" w:space="0" w:color="auto"/>
        <w:right w:val="none" w:sz="0" w:space="0" w:color="auto"/>
      </w:divBdr>
    </w:div>
    <w:div w:id="1921210853">
      <w:bodyDiv w:val="1"/>
      <w:marLeft w:val="0"/>
      <w:marRight w:val="0"/>
      <w:marTop w:val="0"/>
      <w:marBottom w:val="0"/>
      <w:divBdr>
        <w:top w:val="none" w:sz="0" w:space="0" w:color="auto"/>
        <w:left w:val="none" w:sz="0" w:space="0" w:color="auto"/>
        <w:bottom w:val="none" w:sz="0" w:space="0" w:color="auto"/>
        <w:right w:val="none" w:sz="0" w:space="0" w:color="auto"/>
      </w:divBdr>
    </w:div>
    <w:div w:id="1945726928">
      <w:bodyDiv w:val="1"/>
      <w:marLeft w:val="0"/>
      <w:marRight w:val="0"/>
      <w:marTop w:val="0"/>
      <w:marBottom w:val="0"/>
      <w:divBdr>
        <w:top w:val="none" w:sz="0" w:space="0" w:color="auto"/>
        <w:left w:val="none" w:sz="0" w:space="0" w:color="auto"/>
        <w:bottom w:val="none" w:sz="0" w:space="0" w:color="auto"/>
        <w:right w:val="none" w:sz="0" w:space="0" w:color="auto"/>
      </w:divBdr>
    </w:div>
    <w:div w:id="1962491380">
      <w:bodyDiv w:val="1"/>
      <w:marLeft w:val="0"/>
      <w:marRight w:val="0"/>
      <w:marTop w:val="0"/>
      <w:marBottom w:val="0"/>
      <w:divBdr>
        <w:top w:val="none" w:sz="0" w:space="0" w:color="auto"/>
        <w:left w:val="none" w:sz="0" w:space="0" w:color="auto"/>
        <w:bottom w:val="none" w:sz="0" w:space="0" w:color="auto"/>
        <w:right w:val="none" w:sz="0" w:space="0" w:color="auto"/>
      </w:divBdr>
    </w:div>
    <w:div w:id="1998990907">
      <w:bodyDiv w:val="1"/>
      <w:marLeft w:val="0"/>
      <w:marRight w:val="0"/>
      <w:marTop w:val="0"/>
      <w:marBottom w:val="0"/>
      <w:divBdr>
        <w:top w:val="none" w:sz="0" w:space="0" w:color="auto"/>
        <w:left w:val="none" w:sz="0" w:space="0" w:color="auto"/>
        <w:bottom w:val="none" w:sz="0" w:space="0" w:color="auto"/>
        <w:right w:val="none" w:sz="0" w:space="0" w:color="auto"/>
      </w:divBdr>
    </w:div>
    <w:div w:id="202612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www.gao.gov/products/GAO-16-46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o.gov/products/GAO-03-119" TargetMode="External"/><Relationship Id="rId7" Type="http://schemas.openxmlformats.org/officeDocument/2006/relationships/footnotes" Target="footnotes.xml"/><Relationship Id="rId12" Type="http://schemas.openxmlformats.org/officeDocument/2006/relationships/hyperlink" Target="http://www.gao.gov/products/GAO-15-296" TargetMode="External"/><Relationship Id="rId17" Type="http://schemas.openxmlformats.org/officeDocument/2006/relationships/hyperlink" Target="http://www.gao.gov/products/GAO-14-413" TargetMode="External"/><Relationship Id="rId25" Type="http://schemas.openxmlformats.org/officeDocument/2006/relationships/hyperlink" Target="http://www.gao.gov/products/GAO-18-93" TargetMode="External"/><Relationship Id="rId2" Type="http://schemas.openxmlformats.org/officeDocument/2006/relationships/numbering" Target="numbering.xml"/><Relationship Id="rId16" Type="http://schemas.openxmlformats.org/officeDocument/2006/relationships/hyperlink" Target="http://www.gao.gov/products/GAO-18-264" TargetMode="External"/><Relationship Id="rId20" Type="http://schemas.openxmlformats.org/officeDocument/2006/relationships/hyperlink" Target="http://www.gao.gov/products/HR-97-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o.gov/products/GAO-16-494" TargetMode="External"/><Relationship Id="rId24" Type="http://schemas.openxmlformats.org/officeDocument/2006/relationships/hyperlink" Target="http://www.cio.gov" TargetMode="External"/><Relationship Id="rId5" Type="http://schemas.openxmlformats.org/officeDocument/2006/relationships/settings" Target="settings.xml"/><Relationship Id="rId15" Type="http://schemas.openxmlformats.org/officeDocument/2006/relationships/hyperlink" Target="http://www.gao.gov/products/GAO-17-448" TargetMode="External"/><Relationship Id="rId23" Type="http://schemas.openxmlformats.org/officeDocument/2006/relationships/hyperlink" Target="http://www.gao.gov/products/GAO-17-317)." TargetMode="External"/><Relationship Id="rId28" Type="http://schemas.openxmlformats.org/officeDocument/2006/relationships/fontTable" Target="fontTable.xml"/><Relationship Id="rId10" Type="http://schemas.openxmlformats.org/officeDocument/2006/relationships/hyperlink" Target="https://itdashboard.gov/" TargetMode="External"/><Relationship Id="rId19" Type="http://schemas.openxmlformats.org/officeDocument/2006/relationships/hyperlink" Target="http://www.gao.gov/products/HR-97-9" TargetMode="External"/><Relationship Id="rId4" Type="http://schemas.microsoft.com/office/2007/relationships/stylesWithEffects" Target="stylesWithEffects.xml"/><Relationship Id="rId9" Type="http://schemas.openxmlformats.org/officeDocument/2006/relationships/hyperlink" Target="http://www.gao.gov/products/GAO-18-148" TargetMode="External"/><Relationship Id="rId14" Type="http://schemas.openxmlformats.org/officeDocument/2006/relationships/hyperlink" Target="http://www.gao.gov/products/GAO-17-388%20AND" TargetMode="External"/><Relationship Id="rId22" Type="http://schemas.openxmlformats.org/officeDocument/2006/relationships/hyperlink" Target="https://www.gao.gov/products/GAO-15-29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70B6-61DB-4555-925D-AF2027F9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2018-05-15T18:29:00Z</dcterms:created>
  <dcterms:modified xsi:type="dcterms:W3CDTF">2018-12-07T21:07:00Z</dcterms:modified>
</cp:coreProperties>
</file>